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5E8EB" w14:textId="77777777" w:rsidR="00265515" w:rsidRDefault="00265515" w:rsidP="00234F44">
      <w:pPr>
        <w:jc w:val="center"/>
        <w:rPr>
          <w:rFonts w:ascii="Calibri" w:hAnsi="Calibri" w:cs="Calibri"/>
          <w:b/>
          <w:bCs/>
          <w:sz w:val="32"/>
          <w:szCs w:val="32"/>
          <w:u w:val="single"/>
          <w:rtl/>
        </w:rPr>
      </w:pPr>
    </w:p>
    <w:p w14:paraId="37F8CD27" w14:textId="5830BF40" w:rsidR="00234F44" w:rsidRPr="00234F44" w:rsidRDefault="00234F44" w:rsidP="00234F44">
      <w:pPr>
        <w:jc w:val="center"/>
        <w:rPr>
          <w:rFonts w:ascii="Calibri" w:hAnsi="Calibri" w:cs="Calibri"/>
          <w:b/>
          <w:bCs/>
          <w:sz w:val="32"/>
          <w:szCs w:val="32"/>
          <w:u w:val="single"/>
        </w:rPr>
      </w:pPr>
      <w:r w:rsidRPr="00234F44">
        <w:rPr>
          <w:rFonts w:ascii="Calibri" w:hAnsi="Calibri" w:cs="Calibri"/>
          <w:b/>
          <w:bCs/>
          <w:sz w:val="32"/>
          <w:szCs w:val="32"/>
          <w:u w:val="single"/>
        </w:rPr>
        <w:t>Excellent clinical trial results for leading Panaxia products:</w:t>
      </w:r>
    </w:p>
    <w:p w14:paraId="5EE31AE5" w14:textId="16C43258" w:rsidR="00234F44" w:rsidRPr="00234F44" w:rsidRDefault="00234F44" w:rsidP="00234F44">
      <w:pPr>
        <w:jc w:val="center"/>
        <w:rPr>
          <w:rFonts w:ascii="Calibri" w:hAnsi="Calibri" w:cs="Calibri"/>
          <w:b/>
          <w:bCs/>
          <w:sz w:val="32"/>
          <w:szCs w:val="32"/>
        </w:rPr>
      </w:pPr>
      <w:r w:rsidRPr="00234F44">
        <w:rPr>
          <w:rFonts w:ascii="Calibri" w:hAnsi="Calibri" w:cs="Calibri"/>
          <w:b/>
          <w:bCs/>
          <w:sz w:val="32"/>
          <w:szCs w:val="32"/>
        </w:rPr>
        <w:t>Results prove efficacy of absorption in the blood and safety of tablets, suppositories and inhaled cannabis extract.</w:t>
      </w:r>
    </w:p>
    <w:p w14:paraId="498BB934" w14:textId="77777777" w:rsidR="00234F44" w:rsidRPr="00234F44" w:rsidRDefault="00234F44" w:rsidP="00234F44">
      <w:pPr>
        <w:jc w:val="center"/>
        <w:rPr>
          <w:rFonts w:ascii="Calibri" w:hAnsi="Calibri" w:cs="Calibri"/>
          <w:b/>
          <w:bCs/>
          <w:sz w:val="32"/>
          <w:szCs w:val="32"/>
        </w:rPr>
      </w:pPr>
      <w:r w:rsidRPr="00234F44">
        <w:rPr>
          <w:rFonts w:ascii="Calibri" w:hAnsi="Calibri" w:cs="Calibri"/>
          <w:b/>
          <w:bCs/>
          <w:sz w:val="32"/>
          <w:szCs w:val="32"/>
        </w:rPr>
        <w:t xml:space="preserve">In addition, data show that </w:t>
      </w:r>
      <w:proofErr w:type="spellStart"/>
      <w:r w:rsidRPr="00234F44">
        <w:rPr>
          <w:rFonts w:ascii="Calibri" w:hAnsi="Calibri" w:cs="Calibri"/>
          <w:b/>
          <w:bCs/>
          <w:sz w:val="32"/>
          <w:szCs w:val="32"/>
        </w:rPr>
        <w:t>Panaxia’s</w:t>
      </w:r>
      <w:proofErr w:type="spellEnd"/>
      <w:r w:rsidRPr="00234F44">
        <w:rPr>
          <w:rFonts w:ascii="Calibri" w:hAnsi="Calibri" w:cs="Calibri"/>
          <w:b/>
          <w:bCs/>
          <w:sz w:val="32"/>
          <w:szCs w:val="32"/>
        </w:rPr>
        <w:t xml:space="preserve"> sublingual tablets have a higher absorption rate and lower variance in comparison with the industry’s Gold Standard ‘Sativex’ drug.</w:t>
      </w:r>
    </w:p>
    <w:p w14:paraId="104CDCF4" w14:textId="77777777" w:rsidR="00234F44" w:rsidRPr="00234F44" w:rsidRDefault="00234F44" w:rsidP="00234F44">
      <w:pPr>
        <w:rPr>
          <w:rStyle w:val="f"/>
          <w:rFonts w:ascii="Calibri" w:hAnsi="Calibri" w:cs="Calibri"/>
          <w:b/>
          <w:bCs/>
          <w:sz w:val="18"/>
          <w:szCs w:val="18"/>
          <w:shd w:val="clear" w:color="auto" w:fill="FFFFFF"/>
        </w:rPr>
      </w:pPr>
    </w:p>
    <w:p w14:paraId="6FC5470B" w14:textId="18B9232A" w:rsidR="00234F44" w:rsidRPr="00234F44" w:rsidRDefault="00234F44" w:rsidP="00987AD4">
      <w:pPr>
        <w:jc w:val="both"/>
        <w:rPr>
          <w:rFonts w:ascii="Calibri" w:hAnsi="Calibri" w:cs="Calibri"/>
          <w:b/>
          <w:bCs/>
          <w:sz w:val="24"/>
          <w:szCs w:val="24"/>
          <w:shd w:val="clear" w:color="auto" w:fill="FFFFFF"/>
        </w:rPr>
      </w:pPr>
      <w:r w:rsidRPr="00234F44">
        <w:rPr>
          <w:rStyle w:val="f"/>
          <w:rFonts w:ascii="Calibri" w:hAnsi="Calibri" w:cs="Calibri"/>
          <w:b/>
          <w:bCs/>
          <w:sz w:val="24"/>
          <w:szCs w:val="24"/>
          <w:shd w:val="clear" w:color="auto" w:fill="FFFFFF"/>
        </w:rPr>
        <w:t xml:space="preserve">“These clinical trial results are a significant achievement that showcase our R&amp;D capabilities,” says </w:t>
      </w:r>
      <w:r w:rsidRPr="00234F44">
        <w:rPr>
          <w:rFonts w:ascii="Calibri" w:hAnsi="Calibri" w:cs="Calibri"/>
          <w:b/>
          <w:bCs/>
          <w:sz w:val="24"/>
          <w:szCs w:val="24"/>
          <w:shd w:val="clear" w:color="auto" w:fill="FFFFFF"/>
        </w:rPr>
        <w:t>Dr. Dadi Segal, CEO of Panaxia Labs Israel Ltd. “What is common and obvious in every existing drug in the pharma world, is nothing less than revolutionary in the Israeli cannabis industry, which didn’t start off in the pharma world, and as a result, the efficacy</w:t>
      </w:r>
      <w:r w:rsidR="00987AD4">
        <w:rPr>
          <w:rFonts w:ascii="Calibri" w:hAnsi="Calibri" w:cs="Calibri"/>
          <w:b/>
          <w:bCs/>
          <w:sz w:val="24"/>
          <w:szCs w:val="24"/>
          <w:shd w:val="clear" w:color="auto" w:fill="FFFFFF"/>
        </w:rPr>
        <w:t xml:space="preserve"> </w:t>
      </w:r>
      <w:r w:rsidR="006A0B89">
        <w:rPr>
          <w:rFonts w:ascii="Calibri" w:hAnsi="Calibri" w:cs="Calibri"/>
          <w:b/>
          <w:bCs/>
          <w:sz w:val="24"/>
          <w:szCs w:val="24"/>
          <w:shd w:val="clear" w:color="auto" w:fill="FFFFFF"/>
        </w:rPr>
        <w:t xml:space="preserve">of absorption </w:t>
      </w:r>
      <w:r w:rsidRPr="00234F44">
        <w:rPr>
          <w:rFonts w:ascii="Calibri" w:hAnsi="Calibri" w:cs="Calibri"/>
          <w:b/>
          <w:bCs/>
          <w:sz w:val="24"/>
          <w:szCs w:val="24"/>
          <w:shd w:val="clear" w:color="auto" w:fill="FFFFFF"/>
        </w:rPr>
        <w:t>of cannabis products was never tested. Once they are approved, these products will set a higher therapeutic standard, enablin</w:t>
      </w:r>
      <w:bookmarkStart w:id="0" w:name="_GoBack"/>
      <w:bookmarkEnd w:id="0"/>
      <w:r w:rsidRPr="00234F44">
        <w:rPr>
          <w:rFonts w:ascii="Calibri" w:hAnsi="Calibri" w:cs="Calibri"/>
          <w:b/>
          <w:bCs/>
          <w:sz w:val="24"/>
          <w:szCs w:val="24"/>
          <w:shd w:val="clear" w:color="auto" w:fill="FFFFFF"/>
        </w:rPr>
        <w:t>g both the patient and the physician to know for certain how much of the substance has been absorbed into the bloodstream, the rate of absorption and the concentration in the blood. Moreover, we are thrilled about the preliminary data that emerged during the clinical trial, which indicate better characteristics in comparison to the industry’s flagship drug. We intend to examine this data in a separate clinical trial, according to industry standards.”</w:t>
      </w:r>
    </w:p>
    <w:p w14:paraId="53063967" w14:textId="77777777" w:rsidR="00234F44" w:rsidRDefault="00234F44" w:rsidP="00234F44">
      <w:pPr>
        <w:jc w:val="both"/>
        <w:rPr>
          <w:rFonts w:ascii="Calibri" w:hAnsi="Calibri" w:cs="Calibri"/>
          <w:b/>
          <w:bCs/>
          <w:shd w:val="clear" w:color="auto" w:fill="FFFFFF"/>
        </w:rPr>
      </w:pPr>
    </w:p>
    <w:p w14:paraId="14907A4F" w14:textId="3E9388A1" w:rsidR="00234F44" w:rsidRDefault="00234F44" w:rsidP="00234F44">
      <w:pPr>
        <w:jc w:val="both"/>
        <w:rPr>
          <w:rFonts w:ascii="Calibri" w:hAnsi="Calibri" w:cs="Calibri"/>
          <w:sz w:val="24"/>
          <w:szCs w:val="24"/>
          <w:shd w:val="clear" w:color="auto" w:fill="FFFFFF"/>
        </w:rPr>
      </w:pPr>
      <w:r w:rsidRPr="00234F44">
        <w:rPr>
          <w:rFonts w:ascii="Calibri" w:hAnsi="Calibri" w:cs="Calibri"/>
          <w:b/>
          <w:bCs/>
          <w:sz w:val="24"/>
          <w:szCs w:val="24"/>
          <w:shd w:val="clear" w:color="auto" w:fill="FFFFFF"/>
        </w:rPr>
        <w:t>(Tel Aviv, December 10, 2019),</w:t>
      </w:r>
      <w:r w:rsidRPr="00234F44">
        <w:rPr>
          <w:rFonts w:ascii="Calibri" w:hAnsi="Calibri" w:cs="Calibri"/>
          <w:sz w:val="24"/>
          <w:szCs w:val="24"/>
          <w:shd w:val="clear" w:color="auto" w:fill="FFFFFF"/>
        </w:rPr>
        <w:t xml:space="preserve"> </w:t>
      </w:r>
      <w:r w:rsidRPr="00234F44">
        <w:rPr>
          <w:rFonts w:ascii="Calibri" w:hAnsi="Calibri" w:cs="Calibri"/>
          <w:b/>
          <w:bCs/>
          <w:sz w:val="24"/>
          <w:szCs w:val="24"/>
          <w:shd w:val="clear" w:color="auto" w:fill="FFFFFF"/>
        </w:rPr>
        <w:t xml:space="preserve">Panaxia Labs Israel Ltd, TA: (PNAX) </w:t>
      </w:r>
      <w:r w:rsidRPr="00234F44">
        <w:rPr>
          <w:rFonts w:ascii="Calibri" w:hAnsi="Calibri" w:cs="Calibri"/>
          <w:sz w:val="24"/>
          <w:szCs w:val="24"/>
          <w:shd w:val="clear" w:color="auto" w:fill="FFFFFF"/>
        </w:rPr>
        <w:t>The largest manufacturer of medical cannabis products in Israel released today final clinical trial results of a test of the bioavailability and safety of use of a variety of innovative</w:t>
      </w:r>
      <w:r w:rsidR="000C5A5E">
        <w:rPr>
          <w:rFonts w:ascii="Calibri" w:hAnsi="Calibri" w:cs="Calibri"/>
          <w:sz w:val="24"/>
          <w:szCs w:val="24"/>
          <w:shd w:val="clear" w:color="auto" w:fill="FFFFFF"/>
        </w:rPr>
        <w:t xml:space="preserve"> delivery methods  </w:t>
      </w:r>
      <w:r w:rsidRPr="00234F44">
        <w:rPr>
          <w:rFonts w:ascii="Calibri" w:hAnsi="Calibri" w:cs="Calibri"/>
          <w:sz w:val="24"/>
          <w:szCs w:val="24"/>
          <w:shd w:val="clear" w:color="auto" w:fill="FFFFFF"/>
        </w:rPr>
        <w:t xml:space="preserve"> of medical cannabis products developed by the Panaxia Group. This is the first clinical trial of its kind to take place in Israel, to the best of the company’s knowledge, and one of the few performed in the world on medical cannabis-based products. An analysis of the results shows that the clinical trial successfully met its main goals. </w:t>
      </w:r>
    </w:p>
    <w:p w14:paraId="2C1F882F" w14:textId="77777777" w:rsidR="00234F44" w:rsidRPr="00234F44" w:rsidRDefault="00234F44" w:rsidP="00234F44">
      <w:pPr>
        <w:jc w:val="both"/>
        <w:rPr>
          <w:rFonts w:ascii="Calibri" w:hAnsi="Calibri" w:cs="Calibri"/>
          <w:sz w:val="24"/>
          <w:szCs w:val="24"/>
          <w:shd w:val="clear" w:color="auto" w:fill="FFFFFF"/>
        </w:rPr>
      </w:pPr>
    </w:p>
    <w:p w14:paraId="05B0F80D" w14:textId="64F3939E" w:rsidR="00234F44" w:rsidRDefault="00234F44" w:rsidP="00234F44">
      <w:pPr>
        <w:jc w:val="both"/>
        <w:rPr>
          <w:rFonts w:ascii="Calibri" w:hAnsi="Calibri" w:cs="Calibri"/>
          <w:sz w:val="24"/>
          <w:szCs w:val="24"/>
        </w:rPr>
      </w:pPr>
      <w:r w:rsidRPr="00234F44">
        <w:rPr>
          <w:rFonts w:ascii="Calibri" w:hAnsi="Calibri" w:cs="Calibri"/>
          <w:sz w:val="24"/>
          <w:szCs w:val="24"/>
          <w:shd w:val="clear" w:color="auto" w:fill="FFFFFF"/>
        </w:rPr>
        <w:t xml:space="preserve">The clinical trial commenced in January 2019 at the Wolfson Medical Center and included healthy participants, according to a protocol approved by the Israel Ministry of Health (including the Medical Cannabis Unit) and by the Medical Center's Ethics Committee (Helsinki Committee). It was a controlled, double-blind, multi-disciplinary trial involving single-day treatment of each of the innovative forms of the product, including sublingual tablets in varying doses; suppositories and extracts for inhalation using an inhaler; </w:t>
      </w:r>
      <w:proofErr w:type="spellStart"/>
      <w:r w:rsidR="000C5A5E">
        <w:rPr>
          <w:rFonts w:ascii="Calibri" w:hAnsi="Calibri" w:cs="Calibri"/>
          <w:sz w:val="24"/>
          <w:szCs w:val="24"/>
          <w:shd w:val="clear" w:color="auto" w:fill="FFFFFF"/>
        </w:rPr>
        <w:t>Axiban</w:t>
      </w:r>
      <w:proofErr w:type="spellEnd"/>
      <w:r w:rsidR="000C5A5E">
        <w:rPr>
          <w:rFonts w:ascii="Calibri" w:hAnsi="Calibri" w:cs="Calibri"/>
          <w:sz w:val="24"/>
          <w:szCs w:val="24"/>
          <w:shd w:val="clear" w:color="auto" w:fill="FFFFFF"/>
        </w:rPr>
        <w:t xml:space="preserve">, </w:t>
      </w:r>
      <w:r w:rsidRPr="00234F44">
        <w:rPr>
          <w:rFonts w:ascii="Calibri" w:hAnsi="Calibri" w:cs="Calibri"/>
          <w:sz w:val="24"/>
          <w:szCs w:val="24"/>
          <w:shd w:val="clear" w:color="auto" w:fill="FFFFFF"/>
        </w:rPr>
        <w:t xml:space="preserve">sublingual cannabis oil manufactured by the company and marketed by </w:t>
      </w:r>
      <w:proofErr w:type="spellStart"/>
      <w:r w:rsidRPr="00234F44">
        <w:rPr>
          <w:rFonts w:ascii="Calibri" w:hAnsi="Calibri" w:cs="Calibri"/>
          <w:sz w:val="24"/>
          <w:szCs w:val="24"/>
          <w:shd w:val="clear" w:color="auto" w:fill="FFFFFF"/>
        </w:rPr>
        <w:t>Rafa</w:t>
      </w:r>
      <w:proofErr w:type="spellEnd"/>
      <w:r w:rsidR="000C5A5E">
        <w:rPr>
          <w:rFonts w:ascii="Calibri" w:hAnsi="Calibri" w:cs="Calibri"/>
          <w:sz w:val="24"/>
          <w:szCs w:val="24"/>
          <w:shd w:val="clear" w:color="auto" w:fill="FFFFFF"/>
        </w:rPr>
        <w:t xml:space="preserve"> laboratories </w:t>
      </w:r>
      <w:r w:rsidRPr="00234F44">
        <w:rPr>
          <w:rFonts w:ascii="Calibri" w:hAnsi="Calibri" w:cs="Calibri"/>
          <w:sz w:val="24"/>
          <w:szCs w:val="24"/>
          <w:shd w:val="clear" w:color="auto" w:fill="FFFFFF"/>
        </w:rPr>
        <w:t xml:space="preserve">; Sativex, the Gold Standard flagship product of the worldwide cannabis industry, and the only product containing THC from a plant source (cannabis), which was approved for sale by the </w:t>
      </w:r>
      <w:r w:rsidRPr="00234F44">
        <w:rPr>
          <w:rFonts w:ascii="Calibri" w:hAnsi="Calibri" w:cs="Calibri"/>
          <w:sz w:val="24"/>
          <w:szCs w:val="24"/>
        </w:rPr>
        <w:t>European Medicines Agency</w:t>
      </w:r>
      <w:r w:rsidRPr="00234F44">
        <w:rPr>
          <w:rFonts w:ascii="Calibri" w:hAnsi="Calibri" w:cs="Calibri"/>
          <w:sz w:val="24"/>
          <w:szCs w:val="24"/>
          <w:shd w:val="clear" w:color="auto" w:fill="FFFFFF"/>
        </w:rPr>
        <w:t> (</w:t>
      </w:r>
      <w:r w:rsidRPr="00234F44">
        <w:rPr>
          <w:rFonts w:ascii="Calibri" w:hAnsi="Calibri" w:cs="Calibri"/>
          <w:sz w:val="24"/>
          <w:szCs w:val="24"/>
        </w:rPr>
        <w:t xml:space="preserve">EMA); and a placebo. The clinical trial took place over a 12-hour period for each participant, relative to the form of substance, with a set amount of time between each segment. </w:t>
      </w:r>
    </w:p>
    <w:p w14:paraId="479F935F" w14:textId="77777777" w:rsidR="00234F44" w:rsidRPr="00234F44" w:rsidRDefault="00234F44" w:rsidP="00234F44">
      <w:pPr>
        <w:jc w:val="both"/>
        <w:rPr>
          <w:rFonts w:ascii="Calibri" w:hAnsi="Calibri" w:cs="Calibri"/>
          <w:sz w:val="24"/>
          <w:szCs w:val="24"/>
        </w:rPr>
      </w:pPr>
    </w:p>
    <w:p w14:paraId="7128CBE8" w14:textId="4FE58418" w:rsid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The main objectives of the clinical trial were to demonstrate the efficacy (existence of bioavailability of the active substances in the blood), as well as to determine the pharmacokinetics parameters of the products, together with the presentation of the safety of use level of the varying innovative forms of administration of the products. By examining the bioavailability of the products (the concentration of the substance in the patient’s blood, the rate </w:t>
      </w:r>
      <w:r w:rsidRPr="00234F44">
        <w:rPr>
          <w:rFonts w:ascii="Calibri" w:hAnsi="Calibri" w:cs="Calibri"/>
          <w:sz w:val="24"/>
          <w:szCs w:val="24"/>
          <w:shd w:val="clear" w:color="auto" w:fill="FFFFFF"/>
        </w:rPr>
        <w:lastRenderedPageBreak/>
        <w:t xml:space="preserve">of absorption in the bloodstream, and the fraction absorbed in the bloodstream of the total amount consumed), its pharmacokinetic efficacy was proven, and the main objective of the clinical trial was achieved. Moreover, regarding the product’s safety of use, no severe adverse effects were reported. </w:t>
      </w:r>
    </w:p>
    <w:p w14:paraId="33096BBB" w14:textId="77777777" w:rsidR="00234F44" w:rsidRPr="00234F44" w:rsidRDefault="00234F44" w:rsidP="00234F44">
      <w:pPr>
        <w:jc w:val="both"/>
        <w:rPr>
          <w:rFonts w:ascii="Calibri" w:hAnsi="Calibri" w:cs="Calibri"/>
          <w:sz w:val="24"/>
          <w:szCs w:val="24"/>
          <w:shd w:val="clear" w:color="auto" w:fill="FFFFFF"/>
        </w:rPr>
      </w:pPr>
    </w:p>
    <w:p w14:paraId="45238488" w14:textId="77777777"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In light of the positive results that were achieved, the company intends to move forward with procedures to receive approval for the various formats of its products in Israel and in a number of European countries. Following this approval, the company will commence marketing these products in Israel and exporting them to a number of European countries. </w:t>
      </w:r>
    </w:p>
    <w:p w14:paraId="5176F371" w14:textId="77777777" w:rsidR="000C5A5E" w:rsidRDefault="000C5A5E" w:rsidP="00234F44">
      <w:pPr>
        <w:jc w:val="both"/>
        <w:rPr>
          <w:rFonts w:ascii="Calibri" w:hAnsi="Calibri" w:cs="Calibri"/>
          <w:sz w:val="24"/>
          <w:szCs w:val="24"/>
          <w:shd w:val="clear" w:color="auto" w:fill="FFFFFF"/>
        </w:rPr>
      </w:pPr>
    </w:p>
    <w:p w14:paraId="7EA03BFB" w14:textId="46939D0B"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In addition to achieving the goals set out in the trial’s protocol, the results comparing </w:t>
      </w:r>
      <w:proofErr w:type="spellStart"/>
      <w:r w:rsidRPr="00234F44">
        <w:rPr>
          <w:rFonts w:ascii="Calibri" w:hAnsi="Calibri" w:cs="Calibri"/>
          <w:sz w:val="24"/>
          <w:szCs w:val="24"/>
          <w:shd w:val="clear" w:color="auto" w:fill="FFFFFF"/>
        </w:rPr>
        <w:t>Panaxia’s</w:t>
      </w:r>
      <w:proofErr w:type="spellEnd"/>
      <w:r w:rsidRPr="00234F44">
        <w:rPr>
          <w:rFonts w:ascii="Calibri" w:hAnsi="Calibri" w:cs="Calibri"/>
          <w:sz w:val="24"/>
          <w:szCs w:val="24"/>
          <w:shd w:val="clear" w:color="auto" w:fill="FFFFFF"/>
        </w:rPr>
        <w:t xml:space="preserve"> products with the industry’s flagship Sativex products can serve as preliminary data  </w:t>
      </w:r>
      <w:r w:rsidR="005D3924">
        <w:rPr>
          <w:rFonts w:ascii="Calibri" w:hAnsi="Calibri" w:cs="Calibri"/>
          <w:sz w:val="24"/>
          <w:szCs w:val="24"/>
          <w:shd w:val="clear" w:color="auto" w:fill="FFFFFF"/>
        </w:rPr>
        <w:t>indicating</w:t>
      </w:r>
      <w:r w:rsidR="005D3924" w:rsidRPr="00234F44">
        <w:rPr>
          <w:rFonts w:ascii="Calibri" w:hAnsi="Calibri" w:cs="Calibri"/>
          <w:sz w:val="24"/>
          <w:szCs w:val="24"/>
          <w:shd w:val="clear" w:color="auto" w:fill="FFFFFF"/>
        </w:rPr>
        <w:t xml:space="preserve"> </w:t>
      </w:r>
      <w:r w:rsidRPr="00234F44">
        <w:rPr>
          <w:rFonts w:ascii="Calibri" w:hAnsi="Calibri" w:cs="Calibri"/>
          <w:sz w:val="24"/>
          <w:szCs w:val="24"/>
          <w:shd w:val="clear" w:color="auto" w:fill="FFFFFF"/>
        </w:rPr>
        <w:t>that, according to the company, its products have the potential for a significant breakthrough in comparison with Sativex</w:t>
      </w:r>
      <w:r w:rsidR="005D3924">
        <w:rPr>
          <w:rFonts w:ascii="Calibri" w:hAnsi="Calibri" w:cs="Calibri"/>
          <w:sz w:val="24"/>
          <w:szCs w:val="24"/>
          <w:shd w:val="clear" w:color="auto" w:fill="FFFFFF"/>
        </w:rPr>
        <w:t xml:space="preserve"> (</w:t>
      </w:r>
      <w:r w:rsidR="006A0B89">
        <w:rPr>
          <w:rFonts w:ascii="Calibri" w:hAnsi="Calibri" w:cs="Calibri"/>
          <w:sz w:val="24"/>
          <w:szCs w:val="24"/>
          <w:shd w:val="clear" w:color="auto" w:fill="FFFFFF"/>
        </w:rPr>
        <w:t xml:space="preserve">some </w:t>
      </w:r>
      <w:r w:rsidR="005D3924">
        <w:rPr>
          <w:rFonts w:ascii="Calibri" w:hAnsi="Calibri" w:cs="Calibri"/>
          <w:sz w:val="24"/>
          <w:szCs w:val="24"/>
          <w:shd w:val="clear" w:color="auto" w:fill="FFFFFF"/>
        </w:rPr>
        <w:t xml:space="preserve">comparison results to </w:t>
      </w:r>
      <w:proofErr w:type="spellStart"/>
      <w:r w:rsidR="005D3924">
        <w:rPr>
          <w:rFonts w:ascii="Calibri" w:hAnsi="Calibri" w:cs="Calibri"/>
          <w:sz w:val="24"/>
          <w:szCs w:val="24"/>
          <w:shd w:val="clear" w:color="auto" w:fill="FFFFFF"/>
        </w:rPr>
        <w:t>sativex</w:t>
      </w:r>
      <w:proofErr w:type="spellEnd"/>
      <w:r w:rsidR="005D3924">
        <w:rPr>
          <w:rFonts w:ascii="Calibri" w:hAnsi="Calibri" w:cs="Calibri"/>
          <w:sz w:val="24"/>
          <w:szCs w:val="24"/>
          <w:shd w:val="clear" w:color="auto" w:fill="FFFFFF"/>
        </w:rPr>
        <w:t xml:space="preserve">  lacking statistical significance due to small </w:t>
      </w:r>
      <w:r w:rsidR="006A0B89">
        <w:rPr>
          <w:rFonts w:ascii="Calibri" w:hAnsi="Calibri" w:cs="Calibri"/>
          <w:sz w:val="24"/>
          <w:szCs w:val="24"/>
          <w:shd w:val="clear" w:color="auto" w:fill="FFFFFF"/>
        </w:rPr>
        <w:t>number of participants</w:t>
      </w:r>
      <w:r w:rsidR="005D3924">
        <w:rPr>
          <w:rFonts w:ascii="Calibri" w:hAnsi="Calibri" w:cs="Calibri"/>
          <w:sz w:val="24"/>
          <w:szCs w:val="24"/>
          <w:shd w:val="clear" w:color="auto" w:fill="FFFFFF"/>
        </w:rPr>
        <w:t xml:space="preserve">, all other results show statistical </w:t>
      </w:r>
      <w:r w:rsidR="006A0B89">
        <w:rPr>
          <w:rFonts w:ascii="Calibri" w:hAnsi="Calibri" w:cs="Calibri"/>
          <w:sz w:val="24"/>
          <w:szCs w:val="24"/>
          <w:shd w:val="clear" w:color="auto" w:fill="FFFFFF"/>
        </w:rPr>
        <w:t>significance</w:t>
      </w:r>
      <w:r w:rsidR="005D3924">
        <w:rPr>
          <w:rFonts w:ascii="Calibri" w:hAnsi="Calibri" w:cs="Calibri"/>
          <w:sz w:val="24"/>
          <w:szCs w:val="24"/>
          <w:shd w:val="clear" w:color="auto" w:fill="FFFFFF"/>
        </w:rPr>
        <w:t xml:space="preserve"> )</w:t>
      </w:r>
      <w:r w:rsidRPr="00234F44">
        <w:rPr>
          <w:rFonts w:ascii="Calibri" w:hAnsi="Calibri" w:cs="Calibri"/>
          <w:sz w:val="24"/>
          <w:szCs w:val="24"/>
          <w:shd w:val="clear" w:color="auto" w:fill="FFFFFF"/>
        </w:rPr>
        <w:t xml:space="preserve">. </w:t>
      </w:r>
    </w:p>
    <w:p w14:paraId="6429FF92" w14:textId="7548B1D3" w:rsid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It was found that (1) Sublingual tablets produced by Panaxia have a faster rate of absorption into the bloodstream than Sativex; (2) Sublingual tablets produced by Panaxia have a lower variance in the rate of absorption into the bloodstream from patient to patient in comparison to Sativex; (3) Cannabis extracts for inhalation produced by Panaxia have a higher rate of absorption than Sativex, as well as a lower rate of metabolism in the liver (first pass effect); and (4) Following the administration of </w:t>
      </w:r>
      <w:proofErr w:type="spellStart"/>
      <w:r w:rsidR="000C5A5E">
        <w:rPr>
          <w:rFonts w:ascii="Calibri" w:hAnsi="Calibri" w:cs="Calibri"/>
          <w:sz w:val="24"/>
          <w:szCs w:val="24"/>
          <w:shd w:val="clear" w:color="auto" w:fill="FFFFFF"/>
        </w:rPr>
        <w:t>A</w:t>
      </w:r>
      <w:r w:rsidRPr="00234F44">
        <w:rPr>
          <w:rFonts w:ascii="Calibri" w:hAnsi="Calibri" w:cs="Calibri"/>
          <w:sz w:val="24"/>
          <w:szCs w:val="24"/>
          <w:shd w:val="clear" w:color="auto" w:fill="FFFFFF"/>
        </w:rPr>
        <w:t>xiban</w:t>
      </w:r>
      <w:proofErr w:type="spellEnd"/>
      <w:r w:rsidRPr="00234F44">
        <w:rPr>
          <w:rFonts w:ascii="Calibri" w:hAnsi="Calibri" w:cs="Calibri"/>
          <w:sz w:val="24"/>
          <w:szCs w:val="24"/>
          <w:shd w:val="clear" w:color="auto" w:fill="FFFFFF"/>
        </w:rPr>
        <w:t xml:space="preserve"> oil, the level of analytes found in participants’ plasma was similar to levels found after taking Sativex.</w:t>
      </w:r>
    </w:p>
    <w:p w14:paraId="6199309B" w14:textId="77777777" w:rsidR="00234F44" w:rsidRPr="00234F44" w:rsidRDefault="00234F44" w:rsidP="00234F44">
      <w:pPr>
        <w:jc w:val="both"/>
        <w:rPr>
          <w:rFonts w:ascii="Calibri" w:hAnsi="Calibri" w:cs="Calibri"/>
          <w:sz w:val="24"/>
          <w:szCs w:val="24"/>
          <w:shd w:val="clear" w:color="auto" w:fill="FFFFFF"/>
        </w:rPr>
      </w:pPr>
    </w:p>
    <w:p w14:paraId="3A3E79C1" w14:textId="4CEA9262" w:rsid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In light of these preliminary data, the company is considering conducting a clinical trial, the main goal of which would be to measure the efficacy and safety of Panaxia products in comparison with Sativex, and include a larger number of participants, in an effort to achieve greater statistical significance. The company will send out an update if and when it decides to conduct an additional clinical trial. </w:t>
      </w:r>
    </w:p>
    <w:p w14:paraId="5DFE9EE7" w14:textId="77777777" w:rsidR="00234F44" w:rsidRPr="00234F44" w:rsidRDefault="00234F44" w:rsidP="00234F44">
      <w:pPr>
        <w:jc w:val="both"/>
        <w:rPr>
          <w:rFonts w:ascii="Calibri" w:hAnsi="Calibri" w:cs="Calibri"/>
          <w:sz w:val="24"/>
          <w:szCs w:val="24"/>
          <w:shd w:val="clear" w:color="auto" w:fill="FFFFFF"/>
        </w:rPr>
      </w:pPr>
    </w:p>
    <w:p w14:paraId="4A4C3EDC" w14:textId="760DD43A"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“These clinical trial results are a significant achievement. They showcase our R&amp;D capabilities and rank Panaxia as one of the top contenders in the industry worldwide,” says </w:t>
      </w:r>
      <w:r w:rsidRPr="00234F44">
        <w:rPr>
          <w:rFonts w:ascii="Calibri" w:hAnsi="Calibri" w:cs="Calibri"/>
          <w:b/>
          <w:bCs/>
          <w:sz w:val="24"/>
          <w:szCs w:val="24"/>
          <w:shd w:val="clear" w:color="auto" w:fill="FFFFFF"/>
        </w:rPr>
        <w:t>Dr. Dadi Segal, Panaxia CEO</w:t>
      </w:r>
      <w:r w:rsidRPr="00234F44">
        <w:rPr>
          <w:rFonts w:ascii="Calibri" w:hAnsi="Calibri" w:cs="Calibri"/>
          <w:sz w:val="24"/>
          <w:szCs w:val="24"/>
          <w:shd w:val="clear" w:color="auto" w:fill="FFFFFF"/>
        </w:rPr>
        <w:t>. “As far as we know, Panaxia is the only Israeli medical cannabis company that has carried out such a comprehensive clinical trial of its products, and that has scientific proof of their efficacy and safety. What is common and obvious in every existing drug in the pharma world, is nothing less than revolutionary in the Israeli cannabis industry, which didn’t start off in the pharma world, and as a result the efficacy of cannabis products was never tested. The significance of this is that once they are approved, these products will set a higher therapeutic standard, enabling both the patient and the physician to know for certain how much of the substance was absorbed into the bloodstream, the rate of absorption and the concentration in the blood. This critical information will allow patients and their physicians to feel much more comfortable and assured that the product they are using has been checked, and that its effects on our bodies are known. Moreover, we are also thrilled about the preliminary data that emerged during the clinical trial, which indicate better characteristics in comparison to the industry’s flagship drug. We intend to examine this data in a separate clinical trial, according to industry standards.”</w:t>
      </w:r>
    </w:p>
    <w:p w14:paraId="6A14646C" w14:textId="77777777" w:rsidR="00234F44" w:rsidRPr="00234F44" w:rsidRDefault="00234F44" w:rsidP="00234F44">
      <w:pPr>
        <w:jc w:val="both"/>
        <w:rPr>
          <w:rFonts w:ascii="Calibri" w:hAnsi="Calibri" w:cs="Calibri"/>
          <w:sz w:val="24"/>
          <w:szCs w:val="24"/>
          <w:shd w:val="clear" w:color="auto" w:fill="FFFFFF"/>
        </w:rPr>
      </w:pPr>
    </w:p>
    <w:p w14:paraId="669715FC" w14:textId="06656414" w:rsidR="00234F44" w:rsidRDefault="00234F44" w:rsidP="00234F44">
      <w:pPr>
        <w:jc w:val="both"/>
        <w:rPr>
          <w:rFonts w:ascii="Calibri" w:hAnsi="Calibri" w:cs="Calibri"/>
          <w:b/>
          <w:bCs/>
          <w:sz w:val="24"/>
          <w:szCs w:val="24"/>
          <w:shd w:val="clear" w:color="auto" w:fill="FFFFFF"/>
        </w:rPr>
      </w:pPr>
    </w:p>
    <w:p w14:paraId="7ABD0B89" w14:textId="4170706B" w:rsidR="00265515" w:rsidRDefault="00265515" w:rsidP="00234F44">
      <w:pPr>
        <w:jc w:val="both"/>
        <w:rPr>
          <w:rFonts w:ascii="Calibri" w:hAnsi="Calibri" w:cs="Calibri"/>
          <w:b/>
          <w:bCs/>
          <w:sz w:val="24"/>
          <w:szCs w:val="24"/>
          <w:shd w:val="clear" w:color="auto" w:fill="FFFFFF"/>
        </w:rPr>
      </w:pPr>
    </w:p>
    <w:p w14:paraId="11959735" w14:textId="77777777" w:rsidR="00265515" w:rsidRDefault="00265515" w:rsidP="00234F44">
      <w:pPr>
        <w:jc w:val="both"/>
        <w:rPr>
          <w:rFonts w:ascii="Calibri" w:hAnsi="Calibri" w:cs="Calibri"/>
          <w:b/>
          <w:bCs/>
          <w:sz w:val="24"/>
          <w:szCs w:val="24"/>
          <w:shd w:val="clear" w:color="auto" w:fill="FFFFFF"/>
        </w:rPr>
      </w:pPr>
    </w:p>
    <w:p w14:paraId="2B5D6FA8" w14:textId="033D6D4F" w:rsidR="00234F44" w:rsidRPr="00234F44" w:rsidRDefault="00234F44" w:rsidP="00234F44">
      <w:pPr>
        <w:jc w:val="both"/>
        <w:rPr>
          <w:rFonts w:ascii="Calibri" w:hAnsi="Calibri" w:cs="Calibri"/>
          <w:b/>
          <w:bCs/>
          <w:sz w:val="24"/>
          <w:szCs w:val="24"/>
          <w:shd w:val="clear" w:color="auto" w:fill="FFFFFF"/>
        </w:rPr>
      </w:pPr>
      <w:r w:rsidRPr="00234F44">
        <w:rPr>
          <w:rFonts w:ascii="Calibri" w:hAnsi="Calibri" w:cs="Calibri"/>
          <w:b/>
          <w:bCs/>
          <w:sz w:val="24"/>
          <w:szCs w:val="24"/>
          <w:shd w:val="clear" w:color="auto" w:fill="FFFFFF"/>
        </w:rPr>
        <w:t>About Panaxia Labs Israel Ltd</w:t>
      </w:r>
    </w:p>
    <w:p w14:paraId="3A915381" w14:textId="77777777"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Panaxia Labs Israel Ltd, which is traded on the Tel Aviv Stock Exchange as (TA: PNAX) is currently the largest manufacturer and service provider with home-delivery distribution of medical cannabis products in Israel. It is the first company to receive approval from the Israel Ministry of Health for the production of medical cannabis-based drugs (IMC-GMP directive</w:t>
      </w:r>
      <w:proofErr w:type="gramStart"/>
      <w:r w:rsidRPr="00234F44">
        <w:rPr>
          <w:rFonts w:ascii="Calibri" w:hAnsi="Calibri" w:cs="Calibri"/>
          <w:sz w:val="24"/>
          <w:szCs w:val="24"/>
          <w:shd w:val="clear" w:color="auto" w:fill="FFFFFF"/>
        </w:rPr>
        <w:t>), and</w:t>
      </w:r>
      <w:proofErr w:type="gramEnd"/>
      <w:r w:rsidRPr="00234F44">
        <w:rPr>
          <w:rFonts w:ascii="Calibri" w:hAnsi="Calibri" w:cs="Calibri"/>
          <w:sz w:val="24"/>
          <w:szCs w:val="24"/>
          <w:shd w:val="clear" w:color="auto" w:fill="FFFFFF"/>
        </w:rPr>
        <w:t xml:space="preserve"> has authorization to manufacture and distribute medical cannabis in Israel.  </w:t>
      </w:r>
    </w:p>
    <w:p w14:paraId="743D3CAC" w14:textId="77777777"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Panaxia Labs Israel is part of the Segal Pharma Group, owned by the Segal family, which has been in operation for over forty years. Panaxia manufactures over 600 different pharmaceutical products and distributes them in over 40 countries worldwide. Panaxia Labs Israel is a subsidiary of Panaxia Pharmaceutical Industries Ltd. (73.7%), which was established by Dr. Dadi Segal, Dr. Eran Goldberg, and Adv. Assi Rotbart, as the cannabis division of the Segal Group. </w:t>
      </w:r>
    </w:p>
    <w:p w14:paraId="6C4D9741" w14:textId="77777777"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Another subsidiary, Panaxia USA, manufactures over 60 medical cannabis-based products in North America, including sublingual tablets, lozenges, oils, and inhalers designed to treat illnesses such as PTSD, cancer, chronic pain, epilepsy, anorexia, burns, and an assortment of other disorders. The Panaxia Group has around 150 employees, and all clinical trials are conducted by the group. </w:t>
      </w:r>
    </w:p>
    <w:p w14:paraId="77B093B8" w14:textId="77777777"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The Segal Pharma Group also owns </w:t>
      </w:r>
      <w:proofErr w:type="spellStart"/>
      <w:r w:rsidRPr="00234F44">
        <w:rPr>
          <w:rFonts w:ascii="Calibri" w:hAnsi="Calibri" w:cs="Calibri"/>
          <w:sz w:val="24"/>
          <w:szCs w:val="24"/>
          <w:shd w:val="clear" w:color="auto" w:fill="FFFFFF"/>
        </w:rPr>
        <w:t>Luminera</w:t>
      </w:r>
      <w:proofErr w:type="spellEnd"/>
      <w:r w:rsidRPr="00234F44">
        <w:rPr>
          <w:rFonts w:ascii="Calibri" w:hAnsi="Calibri" w:cs="Calibri"/>
          <w:sz w:val="24"/>
          <w:szCs w:val="24"/>
          <w:shd w:val="clear" w:color="auto" w:fill="FFFFFF"/>
        </w:rPr>
        <w:t xml:space="preserve"> </w:t>
      </w:r>
      <w:proofErr w:type="spellStart"/>
      <w:r w:rsidRPr="00234F44">
        <w:rPr>
          <w:rFonts w:ascii="Calibri" w:hAnsi="Calibri" w:cs="Calibri"/>
          <w:sz w:val="24"/>
          <w:szCs w:val="24"/>
          <w:shd w:val="clear" w:color="auto" w:fill="FFFFFF"/>
        </w:rPr>
        <w:t>Derm</w:t>
      </w:r>
      <w:proofErr w:type="spellEnd"/>
      <w:r w:rsidRPr="00234F44">
        <w:rPr>
          <w:rFonts w:ascii="Calibri" w:hAnsi="Calibri" w:cs="Calibri"/>
          <w:sz w:val="24"/>
          <w:szCs w:val="24"/>
          <w:shd w:val="clear" w:color="auto" w:fill="FFFFFF"/>
        </w:rPr>
        <w:t xml:space="preserve">, which produces </w:t>
      </w:r>
      <w:r w:rsidRPr="00234F44">
        <w:rPr>
          <w:rFonts w:ascii="Calibri" w:hAnsi="Calibri" w:cs="Calibri"/>
          <w:sz w:val="24"/>
          <w:szCs w:val="24"/>
        </w:rPr>
        <w:t>injectable</w:t>
      </w:r>
      <w:r w:rsidRPr="00234F44">
        <w:rPr>
          <w:rFonts w:ascii="Calibri" w:hAnsi="Calibri" w:cs="Calibri"/>
          <w:sz w:val="24"/>
          <w:szCs w:val="24"/>
          <w:shd w:val="clear" w:color="auto" w:fill="FFFFFF"/>
        </w:rPr>
        <w:t> </w:t>
      </w:r>
      <w:r w:rsidRPr="00234F44">
        <w:rPr>
          <w:rFonts w:ascii="Calibri" w:hAnsi="Calibri" w:cs="Calibri"/>
          <w:sz w:val="24"/>
          <w:szCs w:val="24"/>
        </w:rPr>
        <w:t>dermal fillers</w:t>
      </w:r>
      <w:r w:rsidRPr="00234F44">
        <w:rPr>
          <w:rFonts w:ascii="Calibri" w:hAnsi="Calibri" w:cs="Calibri"/>
          <w:sz w:val="24"/>
          <w:szCs w:val="24"/>
          <w:shd w:val="clear" w:color="auto" w:fill="FFFFFF"/>
        </w:rPr>
        <w:t>, and Tree of Life Pharma, which produces over-the-counter drugs.</w:t>
      </w:r>
    </w:p>
    <w:p w14:paraId="4C1FE477" w14:textId="7C8BA91F" w:rsidR="00234F44" w:rsidRPr="00234F44" w:rsidRDefault="00234F44" w:rsidP="00234F44">
      <w:pPr>
        <w:jc w:val="both"/>
        <w:rPr>
          <w:rFonts w:ascii="Calibri" w:hAnsi="Calibri" w:cs="Calibri"/>
          <w:sz w:val="24"/>
          <w:szCs w:val="24"/>
          <w:shd w:val="clear" w:color="auto" w:fill="FFFFFF"/>
        </w:rPr>
      </w:pPr>
      <w:r w:rsidRPr="00234F44">
        <w:rPr>
          <w:rFonts w:ascii="Calibri" w:hAnsi="Calibri" w:cs="Calibri"/>
          <w:sz w:val="24"/>
          <w:szCs w:val="24"/>
          <w:shd w:val="clear" w:color="auto" w:fill="FFFFFF"/>
        </w:rPr>
        <w:t xml:space="preserve">For more information, visit the Panaxia website at </w:t>
      </w:r>
      <w:hyperlink r:id="rId8" w:history="1">
        <w:r w:rsidRPr="0022053F">
          <w:rPr>
            <w:rStyle w:val="Hyperlink"/>
            <w:rFonts w:ascii="Calibri" w:hAnsi="Calibri" w:cs="Calibri"/>
            <w:sz w:val="24"/>
            <w:szCs w:val="24"/>
            <w:shd w:val="clear" w:color="auto" w:fill="FFFFFF"/>
          </w:rPr>
          <w:t>www.panaxia.co.il</w:t>
        </w:r>
      </w:hyperlink>
      <w:r>
        <w:rPr>
          <w:rFonts w:ascii="Calibri" w:hAnsi="Calibri" w:cs="Calibri"/>
          <w:sz w:val="24"/>
          <w:szCs w:val="24"/>
          <w:shd w:val="clear" w:color="auto" w:fill="FFFFFF"/>
        </w:rPr>
        <w:t xml:space="preserve"> </w:t>
      </w:r>
    </w:p>
    <w:p w14:paraId="0A5895A8" w14:textId="77777777" w:rsidR="00234F44" w:rsidRDefault="00234F44" w:rsidP="00234F44">
      <w:pPr>
        <w:jc w:val="both"/>
        <w:rPr>
          <w:rFonts w:ascii="Calibri" w:hAnsi="Calibri" w:cs="Calibri"/>
          <w:sz w:val="24"/>
          <w:szCs w:val="24"/>
          <w:shd w:val="clear" w:color="auto" w:fill="FFFFFF"/>
        </w:rPr>
      </w:pPr>
    </w:p>
    <w:p w14:paraId="45F31DF2" w14:textId="15DB8387" w:rsidR="00234F44" w:rsidRDefault="00234F44" w:rsidP="00234F44">
      <w:pPr>
        <w:jc w:val="both"/>
        <w:rPr>
          <w:rFonts w:ascii="Calibri" w:hAnsi="Calibri" w:cs="Calibri"/>
          <w:sz w:val="24"/>
          <w:szCs w:val="24"/>
          <w:shd w:val="clear" w:color="auto" w:fill="FFFFFF"/>
        </w:rPr>
      </w:pPr>
      <w:r>
        <w:rPr>
          <w:rFonts w:ascii="Calibri" w:hAnsi="Calibri" w:cs="Calibri"/>
          <w:sz w:val="24"/>
          <w:szCs w:val="24"/>
          <w:shd w:val="clear" w:color="auto" w:fill="FFFFFF"/>
        </w:rPr>
        <w:t>Gali Dahan</w:t>
      </w:r>
    </w:p>
    <w:p w14:paraId="21518944" w14:textId="78B18655" w:rsidR="00234F44" w:rsidRDefault="00234F44" w:rsidP="00234F44">
      <w:pPr>
        <w:jc w:val="both"/>
        <w:rPr>
          <w:rFonts w:ascii="Calibri" w:hAnsi="Calibri" w:cs="Calibri"/>
          <w:sz w:val="24"/>
          <w:szCs w:val="24"/>
          <w:shd w:val="clear" w:color="auto" w:fill="FFFFFF"/>
        </w:rPr>
      </w:pPr>
      <w:r>
        <w:rPr>
          <w:rFonts w:ascii="Calibri" w:hAnsi="Calibri" w:cs="Calibri"/>
          <w:sz w:val="24"/>
          <w:szCs w:val="24"/>
          <w:shd w:val="clear" w:color="auto" w:fill="FFFFFF"/>
        </w:rPr>
        <w:t xml:space="preserve">Ben Horin </w:t>
      </w:r>
      <w:proofErr w:type="spellStart"/>
      <w:r>
        <w:rPr>
          <w:rFonts w:ascii="Calibri" w:hAnsi="Calibri" w:cs="Calibri"/>
          <w:sz w:val="24"/>
          <w:szCs w:val="24"/>
          <w:shd w:val="clear" w:color="auto" w:fill="FFFFFF"/>
        </w:rPr>
        <w:t>Alexandrovitch</w:t>
      </w:r>
      <w:proofErr w:type="spellEnd"/>
    </w:p>
    <w:p w14:paraId="4D7B6DDA" w14:textId="255CDC25" w:rsidR="00234F44" w:rsidRDefault="00234F44" w:rsidP="00234F44">
      <w:pPr>
        <w:jc w:val="both"/>
        <w:rPr>
          <w:rFonts w:ascii="Calibri" w:hAnsi="Calibri" w:cs="Calibri"/>
          <w:sz w:val="24"/>
          <w:szCs w:val="24"/>
          <w:shd w:val="clear" w:color="auto" w:fill="FFFFFF"/>
        </w:rPr>
      </w:pPr>
      <w:r>
        <w:rPr>
          <w:rFonts w:ascii="Calibri" w:hAnsi="Calibri" w:cs="Calibri"/>
          <w:sz w:val="24"/>
          <w:szCs w:val="24"/>
          <w:shd w:val="clear" w:color="auto" w:fill="FFFFFF"/>
        </w:rPr>
        <w:t>052-3935529</w:t>
      </w:r>
    </w:p>
    <w:p w14:paraId="767630E9" w14:textId="42699C83" w:rsidR="00234F44" w:rsidRDefault="00A756CE" w:rsidP="00234F44">
      <w:pPr>
        <w:jc w:val="both"/>
        <w:rPr>
          <w:rFonts w:ascii="Calibri" w:hAnsi="Calibri" w:cs="Calibri"/>
          <w:sz w:val="24"/>
          <w:szCs w:val="24"/>
          <w:shd w:val="clear" w:color="auto" w:fill="FFFFFF"/>
        </w:rPr>
      </w:pPr>
      <w:hyperlink r:id="rId9" w:history="1">
        <w:r w:rsidR="00234F44" w:rsidRPr="0022053F">
          <w:rPr>
            <w:rStyle w:val="Hyperlink"/>
            <w:rFonts w:ascii="Calibri" w:hAnsi="Calibri" w:cs="Calibri"/>
            <w:sz w:val="24"/>
            <w:szCs w:val="24"/>
            <w:shd w:val="clear" w:color="auto" w:fill="FFFFFF"/>
          </w:rPr>
          <w:t>gali@ibh.co.il</w:t>
        </w:r>
      </w:hyperlink>
      <w:r w:rsidR="00234F44">
        <w:rPr>
          <w:rFonts w:ascii="Calibri" w:hAnsi="Calibri" w:cs="Calibri"/>
          <w:sz w:val="24"/>
          <w:szCs w:val="24"/>
          <w:shd w:val="clear" w:color="auto" w:fill="FFFFFF"/>
        </w:rPr>
        <w:t xml:space="preserve"> </w:t>
      </w:r>
    </w:p>
    <w:p w14:paraId="4F8643B6" w14:textId="77777777" w:rsidR="00234F44" w:rsidRDefault="00234F44" w:rsidP="00234F44">
      <w:pPr>
        <w:jc w:val="both"/>
        <w:rPr>
          <w:rFonts w:ascii="Calibri" w:hAnsi="Calibri" w:cs="Calibri"/>
          <w:sz w:val="24"/>
          <w:szCs w:val="24"/>
          <w:shd w:val="clear" w:color="auto" w:fill="FFFFFF"/>
        </w:rPr>
      </w:pPr>
    </w:p>
    <w:p w14:paraId="7E8C9559" w14:textId="1AD098E5" w:rsidR="00234F44" w:rsidRPr="00234F44" w:rsidRDefault="00234F44" w:rsidP="00234F44">
      <w:pPr>
        <w:jc w:val="both"/>
        <w:rPr>
          <w:rFonts w:ascii="Calibri" w:hAnsi="Calibri" w:cs="Calibri"/>
          <w:sz w:val="24"/>
          <w:szCs w:val="24"/>
          <w:shd w:val="clear" w:color="auto" w:fill="FFFFFF"/>
          <w:rtl/>
        </w:rPr>
      </w:pPr>
      <w:r w:rsidRPr="00234F44">
        <w:rPr>
          <w:rFonts w:ascii="Calibri" w:hAnsi="Calibri" w:cs="Calibri"/>
          <w:sz w:val="24"/>
          <w:szCs w:val="24"/>
          <w:shd w:val="clear" w:color="auto" w:fill="FFFFFF"/>
        </w:rPr>
        <w:t xml:space="preserve">Meirav </w:t>
      </w:r>
      <w:proofErr w:type="spellStart"/>
      <w:r w:rsidRPr="00234F44">
        <w:rPr>
          <w:rFonts w:ascii="Calibri" w:hAnsi="Calibri" w:cs="Calibri"/>
          <w:sz w:val="24"/>
          <w:szCs w:val="24"/>
          <w:shd w:val="clear" w:color="auto" w:fill="FFFFFF"/>
        </w:rPr>
        <w:t>Gome</w:t>
      </w:r>
      <w:proofErr w:type="spellEnd"/>
      <w:r w:rsidRPr="00234F44">
        <w:rPr>
          <w:rFonts w:ascii="Calibri" w:hAnsi="Calibri" w:cs="Calibri"/>
          <w:sz w:val="24"/>
          <w:szCs w:val="24"/>
          <w:shd w:val="clear" w:color="auto" w:fill="FFFFFF"/>
        </w:rPr>
        <w:t>-Bauer</w:t>
      </w:r>
    </w:p>
    <w:p w14:paraId="724A7BA7" w14:textId="77777777" w:rsidR="00234F44" w:rsidRPr="00234F44" w:rsidRDefault="00234F44" w:rsidP="00234F44">
      <w:pPr>
        <w:jc w:val="both"/>
        <w:rPr>
          <w:rFonts w:ascii="Calibri" w:hAnsi="Calibri" w:cs="Calibri"/>
          <w:sz w:val="24"/>
          <w:szCs w:val="24"/>
          <w:shd w:val="clear" w:color="auto" w:fill="FFFFFF"/>
          <w:rtl/>
        </w:rPr>
      </w:pPr>
      <w:r w:rsidRPr="00234F44">
        <w:rPr>
          <w:rFonts w:ascii="Calibri" w:hAnsi="Calibri" w:cs="Calibri"/>
          <w:sz w:val="24"/>
          <w:szCs w:val="24"/>
          <w:shd w:val="clear" w:color="auto" w:fill="FFFFFF"/>
        </w:rPr>
        <w:t>054-476-4979</w:t>
      </w:r>
    </w:p>
    <w:p w14:paraId="2E76AD7B" w14:textId="1663E784" w:rsidR="00234F44" w:rsidRDefault="00A756CE" w:rsidP="00234F44">
      <w:pPr>
        <w:jc w:val="both"/>
        <w:rPr>
          <w:rFonts w:ascii="Calibri" w:hAnsi="Calibri" w:cs="Calibri"/>
          <w:sz w:val="24"/>
          <w:szCs w:val="24"/>
          <w:shd w:val="clear" w:color="auto" w:fill="FFFFFF"/>
        </w:rPr>
      </w:pPr>
      <w:hyperlink r:id="rId10" w:history="1">
        <w:r w:rsidR="00234F44" w:rsidRPr="0022053F">
          <w:rPr>
            <w:rStyle w:val="Hyperlink"/>
            <w:rFonts w:ascii="Calibri" w:hAnsi="Calibri" w:cs="Calibri"/>
            <w:sz w:val="24"/>
            <w:szCs w:val="24"/>
            <w:shd w:val="clear" w:color="auto" w:fill="FFFFFF"/>
          </w:rPr>
          <w:t>Meirav@bauerg.com</w:t>
        </w:r>
      </w:hyperlink>
    </w:p>
    <w:p w14:paraId="5ED3979F" w14:textId="11B576FE" w:rsidR="00234F44" w:rsidRDefault="00234F44" w:rsidP="00234F44">
      <w:pPr>
        <w:jc w:val="both"/>
        <w:rPr>
          <w:rFonts w:ascii="Calibri" w:hAnsi="Calibri" w:cs="Calibri"/>
          <w:sz w:val="24"/>
          <w:szCs w:val="24"/>
          <w:shd w:val="clear" w:color="auto" w:fill="FFFFFF"/>
        </w:rPr>
      </w:pPr>
    </w:p>
    <w:p w14:paraId="79A29F0C" w14:textId="77777777" w:rsidR="00234F44" w:rsidRPr="00234F44" w:rsidRDefault="00234F44" w:rsidP="00234F44">
      <w:pPr>
        <w:jc w:val="both"/>
        <w:rPr>
          <w:rFonts w:ascii="Calibri" w:hAnsi="Calibri" w:cs="Calibri"/>
          <w:sz w:val="24"/>
          <w:szCs w:val="24"/>
          <w:shd w:val="clear" w:color="auto" w:fill="FFFFFF"/>
        </w:rPr>
      </w:pPr>
    </w:p>
    <w:p w14:paraId="5D6B7B3C" w14:textId="77777777" w:rsidR="00234F44" w:rsidRPr="00234F44" w:rsidRDefault="00234F44" w:rsidP="00234F44">
      <w:pPr>
        <w:jc w:val="both"/>
        <w:rPr>
          <w:sz w:val="24"/>
          <w:szCs w:val="24"/>
        </w:rPr>
      </w:pPr>
      <w:r w:rsidRPr="00234F44">
        <w:rPr>
          <w:rStyle w:val="Emphasis"/>
          <w:rFonts w:ascii="Calibri Light" w:hAnsi="Calibri Light" w:cs="Calibri Light"/>
          <w:color w:val="000000"/>
          <w:sz w:val="24"/>
          <w:szCs w:val="24"/>
          <w:shd w:val="clear" w:color="auto" w:fill="FFFFFF"/>
        </w:rPr>
        <w:t>This press release contains forward-looking statements within the meaning of the Israeli Securities Law of 1968. Words such as “expect,” “believe,” “intend,” “plan,” “continue,” “may,” “will,” “anticipate,” and similar expressions are intended to identify forward-looking statements. These forward-looking statements reflect the management’s current views with respect to certain current and future events and are subject to various risks, uncertainties and assumptions that could cause the results to differ materially from those expected by the management of Panaxia Labs Israel Ltd. Detailed information about the risks and uncertainties affecting Panaxia Labs Israel Ltd. is contained in Section 3.26 of Appendix A (Description of the Activities) which is attached to the shareholders meeting invitation (as amended) dated 5</w:t>
      </w:r>
      <w:r w:rsidRPr="00234F44">
        <w:rPr>
          <w:rStyle w:val="Emphasis"/>
          <w:rFonts w:ascii="Calibri Light" w:hAnsi="Calibri Light" w:cs="Calibri Light"/>
          <w:color w:val="000000"/>
          <w:sz w:val="24"/>
          <w:szCs w:val="24"/>
          <w:shd w:val="clear" w:color="auto" w:fill="FFFFFF"/>
          <w:vertAlign w:val="superscript"/>
        </w:rPr>
        <w:t>th</w:t>
      </w:r>
      <w:r w:rsidRPr="00234F44">
        <w:rPr>
          <w:rStyle w:val="Emphasis"/>
          <w:rFonts w:ascii="Calibri Light" w:hAnsi="Calibri Light" w:cs="Calibri Light"/>
          <w:color w:val="000000"/>
          <w:sz w:val="24"/>
          <w:szCs w:val="24"/>
          <w:shd w:val="clear" w:color="auto" w:fill="FFFFFF"/>
        </w:rPr>
        <w:t xml:space="preserve"> May 2019 [document number: 2019-01-043483].  Panaxia Labs Israel Ltd. undertakes no obligation to revise or update any forward-looking statement for any reason.</w:t>
      </w:r>
      <w:r w:rsidRPr="00234F44">
        <w:rPr>
          <w:sz w:val="24"/>
          <w:szCs w:val="24"/>
        </w:rPr>
        <w:t xml:space="preserve"> </w:t>
      </w:r>
      <w:r w:rsidRPr="00234F44">
        <w:rPr>
          <w:rStyle w:val="Emphasis"/>
          <w:rFonts w:ascii="Calibri Light" w:hAnsi="Calibri Light" w:cs="Calibri Light"/>
          <w:color w:val="000000"/>
          <w:sz w:val="24"/>
          <w:szCs w:val="24"/>
          <w:shd w:val="clear" w:color="auto" w:fill="FFFFFF"/>
        </w:rPr>
        <w:t>Nothing in this press release is intended as an offer or recommendation to purchase or sell securities of Panaxia Labs Israel Ltd. or a solicitation of any securities transaction.</w:t>
      </w:r>
    </w:p>
    <w:p w14:paraId="7F6387AE" w14:textId="77777777" w:rsidR="00234F44" w:rsidRPr="00234F44" w:rsidRDefault="00234F44" w:rsidP="00234F44">
      <w:pPr>
        <w:bidi/>
        <w:jc w:val="both"/>
        <w:rPr>
          <w:sz w:val="24"/>
          <w:szCs w:val="24"/>
          <w:rtl/>
        </w:rPr>
      </w:pPr>
    </w:p>
    <w:p w14:paraId="28592B14" w14:textId="77777777" w:rsidR="00234F44" w:rsidRPr="00234F44" w:rsidRDefault="00234F44" w:rsidP="00234F44">
      <w:pPr>
        <w:bidi/>
        <w:jc w:val="both"/>
        <w:rPr>
          <w:sz w:val="24"/>
          <w:szCs w:val="24"/>
          <w:rtl/>
        </w:rPr>
      </w:pPr>
    </w:p>
    <w:p w14:paraId="063B97F3" w14:textId="77777777" w:rsidR="0026431E" w:rsidRPr="00234F44" w:rsidRDefault="0026431E" w:rsidP="001C04EE">
      <w:pPr>
        <w:bidi/>
        <w:spacing w:line="360" w:lineRule="auto"/>
        <w:jc w:val="center"/>
        <w:rPr>
          <w:sz w:val="36"/>
          <w:szCs w:val="36"/>
          <w:rtl/>
        </w:rPr>
      </w:pPr>
    </w:p>
    <w:sectPr w:rsidR="0026431E" w:rsidRPr="00234F44" w:rsidSect="006604CF">
      <w:headerReference w:type="first" r:id="rId11"/>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2FF4B" w14:textId="77777777" w:rsidR="00494D51" w:rsidRDefault="00494D51" w:rsidP="00027619">
      <w:r>
        <w:separator/>
      </w:r>
    </w:p>
  </w:endnote>
  <w:endnote w:type="continuationSeparator" w:id="0">
    <w:p w14:paraId="09BD7FF6" w14:textId="77777777" w:rsidR="00494D51" w:rsidRDefault="00494D51"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5C6F3" w14:textId="77777777" w:rsidR="00494D51" w:rsidRDefault="00494D51" w:rsidP="00027619">
      <w:r>
        <w:separator/>
      </w:r>
    </w:p>
  </w:footnote>
  <w:footnote w:type="continuationSeparator" w:id="0">
    <w:p w14:paraId="4AE3BEF8" w14:textId="77777777" w:rsidR="00494D51" w:rsidRDefault="00494D51"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0F4B" w14:textId="7D72FDF5" w:rsidR="003855EC" w:rsidRPr="00A65B81" w:rsidRDefault="00C51150" w:rsidP="00A65B81">
    <w:pPr>
      <w:pStyle w:val="Header"/>
    </w:pPr>
    <w:r>
      <w:rPr>
        <w:noProof/>
      </w:rPr>
      <w:drawing>
        <wp:inline distT="0" distB="0" distL="0" distR="0" wp14:anchorId="3F85AAFF" wp14:editId="19A05B6A">
          <wp:extent cx="1965325" cy="381372"/>
          <wp:effectExtent l="0" t="0" r="0" b="0"/>
          <wp:docPr id="2" name="Picture 2"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7469"/>
                  <a:stretch/>
                </pic:blipFill>
                <pic:spPr bwMode="auto">
                  <a:xfrm>
                    <a:off x="0" y="0"/>
                    <a:ext cx="2016408" cy="3912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25C658B"/>
    <w:multiLevelType w:val="hybridMultilevel"/>
    <w:tmpl w:val="2234827E"/>
    <w:lvl w:ilvl="0" w:tplc="CF24531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7"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A57E42"/>
    <w:multiLevelType w:val="hybridMultilevel"/>
    <w:tmpl w:val="05F6F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2"/>
  </w:num>
  <w:num w:numId="4">
    <w:abstractNumId w:val="7"/>
  </w:num>
  <w:num w:numId="5">
    <w:abstractNumId w:val="9"/>
  </w:num>
  <w:num w:numId="6">
    <w:abstractNumId w:val="3"/>
  </w:num>
  <w:num w:numId="7">
    <w:abstractNumId w:val="0"/>
  </w:num>
  <w:num w:numId="8">
    <w:abstractNumId w:val="6"/>
  </w:num>
  <w:num w:numId="9">
    <w:abstractNumId w:val="11"/>
  </w:num>
  <w:num w:numId="10">
    <w:abstractNumId w:val="2"/>
  </w:num>
  <w:num w:numId="11">
    <w:abstractNumId w:val="1"/>
  </w:num>
  <w:num w:numId="12">
    <w:abstractNumId w:val="5"/>
  </w:num>
  <w:num w:numId="13">
    <w:abstractNumId w:val="6"/>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19"/>
    <w:rsid w:val="00001F05"/>
    <w:rsid w:val="00002D58"/>
    <w:rsid w:val="0000467B"/>
    <w:rsid w:val="000108A2"/>
    <w:rsid w:val="00010B6A"/>
    <w:rsid w:val="0001270B"/>
    <w:rsid w:val="00012A79"/>
    <w:rsid w:val="00012D0E"/>
    <w:rsid w:val="00013E95"/>
    <w:rsid w:val="000146B2"/>
    <w:rsid w:val="00015627"/>
    <w:rsid w:val="00015DBA"/>
    <w:rsid w:val="00017694"/>
    <w:rsid w:val="0002005E"/>
    <w:rsid w:val="000201C1"/>
    <w:rsid w:val="00021454"/>
    <w:rsid w:val="0002196D"/>
    <w:rsid w:val="00023235"/>
    <w:rsid w:val="00023BC8"/>
    <w:rsid w:val="00024EE0"/>
    <w:rsid w:val="000267E6"/>
    <w:rsid w:val="00026847"/>
    <w:rsid w:val="00026919"/>
    <w:rsid w:val="00027619"/>
    <w:rsid w:val="00027633"/>
    <w:rsid w:val="000277EB"/>
    <w:rsid w:val="00031374"/>
    <w:rsid w:val="00031C55"/>
    <w:rsid w:val="00031F44"/>
    <w:rsid w:val="000328A0"/>
    <w:rsid w:val="000343EB"/>
    <w:rsid w:val="00034667"/>
    <w:rsid w:val="000352FC"/>
    <w:rsid w:val="00040FDC"/>
    <w:rsid w:val="0004121A"/>
    <w:rsid w:val="0004137E"/>
    <w:rsid w:val="00044836"/>
    <w:rsid w:val="00044A5D"/>
    <w:rsid w:val="00044C92"/>
    <w:rsid w:val="000478F5"/>
    <w:rsid w:val="0005030B"/>
    <w:rsid w:val="0005404C"/>
    <w:rsid w:val="00054633"/>
    <w:rsid w:val="0005500E"/>
    <w:rsid w:val="00055DDB"/>
    <w:rsid w:val="000572C0"/>
    <w:rsid w:val="00060923"/>
    <w:rsid w:val="00061EAA"/>
    <w:rsid w:val="00063C3B"/>
    <w:rsid w:val="00064967"/>
    <w:rsid w:val="000724F6"/>
    <w:rsid w:val="00073E9B"/>
    <w:rsid w:val="00073F45"/>
    <w:rsid w:val="00074462"/>
    <w:rsid w:val="00074799"/>
    <w:rsid w:val="00075BBA"/>
    <w:rsid w:val="00076684"/>
    <w:rsid w:val="000772B6"/>
    <w:rsid w:val="00080468"/>
    <w:rsid w:val="000827A1"/>
    <w:rsid w:val="00082B47"/>
    <w:rsid w:val="00083788"/>
    <w:rsid w:val="00084441"/>
    <w:rsid w:val="0008559D"/>
    <w:rsid w:val="00087359"/>
    <w:rsid w:val="000912FE"/>
    <w:rsid w:val="00091571"/>
    <w:rsid w:val="000919F0"/>
    <w:rsid w:val="00092C91"/>
    <w:rsid w:val="000954C3"/>
    <w:rsid w:val="00097AA6"/>
    <w:rsid w:val="000A1A89"/>
    <w:rsid w:val="000A2460"/>
    <w:rsid w:val="000A3260"/>
    <w:rsid w:val="000A38C4"/>
    <w:rsid w:val="000A4D5B"/>
    <w:rsid w:val="000A4E52"/>
    <w:rsid w:val="000A5770"/>
    <w:rsid w:val="000A5A4F"/>
    <w:rsid w:val="000A77BB"/>
    <w:rsid w:val="000B127C"/>
    <w:rsid w:val="000B3296"/>
    <w:rsid w:val="000B3512"/>
    <w:rsid w:val="000B3965"/>
    <w:rsid w:val="000B563A"/>
    <w:rsid w:val="000B647E"/>
    <w:rsid w:val="000B6599"/>
    <w:rsid w:val="000B73F3"/>
    <w:rsid w:val="000C10AC"/>
    <w:rsid w:val="000C1C79"/>
    <w:rsid w:val="000C2408"/>
    <w:rsid w:val="000C255A"/>
    <w:rsid w:val="000C2EC5"/>
    <w:rsid w:val="000C4778"/>
    <w:rsid w:val="000C5752"/>
    <w:rsid w:val="000C59FC"/>
    <w:rsid w:val="000C5A5E"/>
    <w:rsid w:val="000C5C90"/>
    <w:rsid w:val="000C6BAC"/>
    <w:rsid w:val="000C741E"/>
    <w:rsid w:val="000C77FD"/>
    <w:rsid w:val="000D250A"/>
    <w:rsid w:val="000D48D1"/>
    <w:rsid w:val="000D5155"/>
    <w:rsid w:val="000E151A"/>
    <w:rsid w:val="000E2F9B"/>
    <w:rsid w:val="000E4E93"/>
    <w:rsid w:val="000E56FB"/>
    <w:rsid w:val="000E5FA4"/>
    <w:rsid w:val="000E7796"/>
    <w:rsid w:val="000F11C3"/>
    <w:rsid w:val="000F2AFC"/>
    <w:rsid w:val="000F43B7"/>
    <w:rsid w:val="000F43CC"/>
    <w:rsid w:val="000F4D13"/>
    <w:rsid w:val="0010065A"/>
    <w:rsid w:val="001023E7"/>
    <w:rsid w:val="001035C7"/>
    <w:rsid w:val="00105A76"/>
    <w:rsid w:val="00105B7A"/>
    <w:rsid w:val="00106986"/>
    <w:rsid w:val="001075C5"/>
    <w:rsid w:val="00107CFB"/>
    <w:rsid w:val="001100A1"/>
    <w:rsid w:val="00111948"/>
    <w:rsid w:val="00111FE9"/>
    <w:rsid w:val="00112399"/>
    <w:rsid w:val="00112935"/>
    <w:rsid w:val="00114AFC"/>
    <w:rsid w:val="00114FDE"/>
    <w:rsid w:val="00116153"/>
    <w:rsid w:val="00117802"/>
    <w:rsid w:val="001179CB"/>
    <w:rsid w:val="00117E95"/>
    <w:rsid w:val="00121A5D"/>
    <w:rsid w:val="00126A79"/>
    <w:rsid w:val="00127944"/>
    <w:rsid w:val="00131A12"/>
    <w:rsid w:val="0013246D"/>
    <w:rsid w:val="0013277B"/>
    <w:rsid w:val="0013428C"/>
    <w:rsid w:val="00135CAD"/>
    <w:rsid w:val="00135DB2"/>
    <w:rsid w:val="0013603D"/>
    <w:rsid w:val="00136571"/>
    <w:rsid w:val="00137A80"/>
    <w:rsid w:val="00137D1B"/>
    <w:rsid w:val="0014030E"/>
    <w:rsid w:val="0014226F"/>
    <w:rsid w:val="00142ABE"/>
    <w:rsid w:val="00143AFF"/>
    <w:rsid w:val="001447B0"/>
    <w:rsid w:val="00145922"/>
    <w:rsid w:val="0014603C"/>
    <w:rsid w:val="00146713"/>
    <w:rsid w:val="00150F79"/>
    <w:rsid w:val="00151055"/>
    <w:rsid w:val="0015223C"/>
    <w:rsid w:val="00156E6F"/>
    <w:rsid w:val="0015722C"/>
    <w:rsid w:val="00157381"/>
    <w:rsid w:val="00157646"/>
    <w:rsid w:val="0016034F"/>
    <w:rsid w:val="00160424"/>
    <w:rsid w:val="001617A8"/>
    <w:rsid w:val="0016199A"/>
    <w:rsid w:val="00161D98"/>
    <w:rsid w:val="00165157"/>
    <w:rsid w:val="00167D85"/>
    <w:rsid w:val="00171A79"/>
    <w:rsid w:val="001754B3"/>
    <w:rsid w:val="00175E23"/>
    <w:rsid w:val="00177EC1"/>
    <w:rsid w:val="001806D6"/>
    <w:rsid w:val="00180B4A"/>
    <w:rsid w:val="001829E5"/>
    <w:rsid w:val="001858F4"/>
    <w:rsid w:val="00186C13"/>
    <w:rsid w:val="00187378"/>
    <w:rsid w:val="00187B0E"/>
    <w:rsid w:val="0019069D"/>
    <w:rsid w:val="00190972"/>
    <w:rsid w:val="00192F7E"/>
    <w:rsid w:val="001938FF"/>
    <w:rsid w:val="001956D4"/>
    <w:rsid w:val="001979A0"/>
    <w:rsid w:val="001A1E9D"/>
    <w:rsid w:val="001A28A4"/>
    <w:rsid w:val="001A4F38"/>
    <w:rsid w:val="001A58B2"/>
    <w:rsid w:val="001A6831"/>
    <w:rsid w:val="001B0844"/>
    <w:rsid w:val="001B38C0"/>
    <w:rsid w:val="001B3DCC"/>
    <w:rsid w:val="001B5C60"/>
    <w:rsid w:val="001B6CB9"/>
    <w:rsid w:val="001C04EE"/>
    <w:rsid w:val="001C17FC"/>
    <w:rsid w:val="001C3255"/>
    <w:rsid w:val="001C388B"/>
    <w:rsid w:val="001C4D3D"/>
    <w:rsid w:val="001C7E87"/>
    <w:rsid w:val="001D02A6"/>
    <w:rsid w:val="001D1BED"/>
    <w:rsid w:val="001D21AF"/>
    <w:rsid w:val="001D334E"/>
    <w:rsid w:val="001D36A4"/>
    <w:rsid w:val="001D4659"/>
    <w:rsid w:val="001D48F9"/>
    <w:rsid w:val="001D53EE"/>
    <w:rsid w:val="001E0333"/>
    <w:rsid w:val="001E0C2D"/>
    <w:rsid w:val="001E0E31"/>
    <w:rsid w:val="001E130D"/>
    <w:rsid w:val="001E23EB"/>
    <w:rsid w:val="001E4601"/>
    <w:rsid w:val="001E5492"/>
    <w:rsid w:val="001E589A"/>
    <w:rsid w:val="001E5A43"/>
    <w:rsid w:val="001F1AAD"/>
    <w:rsid w:val="001F1D9B"/>
    <w:rsid w:val="001F2105"/>
    <w:rsid w:val="001F2375"/>
    <w:rsid w:val="001F2539"/>
    <w:rsid w:val="001F2EEE"/>
    <w:rsid w:val="001F2F37"/>
    <w:rsid w:val="001F3ACB"/>
    <w:rsid w:val="00201ACC"/>
    <w:rsid w:val="00202457"/>
    <w:rsid w:val="0020397E"/>
    <w:rsid w:val="002052A8"/>
    <w:rsid w:val="00205DA1"/>
    <w:rsid w:val="002065C8"/>
    <w:rsid w:val="002106E4"/>
    <w:rsid w:val="0021127E"/>
    <w:rsid w:val="00214F00"/>
    <w:rsid w:val="002155BF"/>
    <w:rsid w:val="00216704"/>
    <w:rsid w:val="00217B2D"/>
    <w:rsid w:val="00217D7D"/>
    <w:rsid w:val="0022160A"/>
    <w:rsid w:val="00222461"/>
    <w:rsid w:val="002257D9"/>
    <w:rsid w:val="00227028"/>
    <w:rsid w:val="00227DB3"/>
    <w:rsid w:val="00230704"/>
    <w:rsid w:val="002307A7"/>
    <w:rsid w:val="00230CB6"/>
    <w:rsid w:val="00231ED7"/>
    <w:rsid w:val="00231F86"/>
    <w:rsid w:val="00234F44"/>
    <w:rsid w:val="00235B13"/>
    <w:rsid w:val="002373FE"/>
    <w:rsid w:val="00237EF8"/>
    <w:rsid w:val="00241787"/>
    <w:rsid w:val="00241D00"/>
    <w:rsid w:val="00241E02"/>
    <w:rsid w:val="00242EB6"/>
    <w:rsid w:val="002430FA"/>
    <w:rsid w:val="00244146"/>
    <w:rsid w:val="00244BDA"/>
    <w:rsid w:val="00244D16"/>
    <w:rsid w:val="00246957"/>
    <w:rsid w:val="002505AC"/>
    <w:rsid w:val="0025062E"/>
    <w:rsid w:val="00251A8A"/>
    <w:rsid w:val="00251D4F"/>
    <w:rsid w:val="002548E3"/>
    <w:rsid w:val="00255EED"/>
    <w:rsid w:val="00255F68"/>
    <w:rsid w:val="00256B8E"/>
    <w:rsid w:val="00257398"/>
    <w:rsid w:val="00257878"/>
    <w:rsid w:val="0026282B"/>
    <w:rsid w:val="0026431E"/>
    <w:rsid w:val="0026471E"/>
    <w:rsid w:val="002653CB"/>
    <w:rsid w:val="00265515"/>
    <w:rsid w:val="002672C8"/>
    <w:rsid w:val="002718F6"/>
    <w:rsid w:val="00271EC4"/>
    <w:rsid w:val="00274648"/>
    <w:rsid w:val="00274D7B"/>
    <w:rsid w:val="0027564F"/>
    <w:rsid w:val="00276F2C"/>
    <w:rsid w:val="00280D82"/>
    <w:rsid w:val="00280E65"/>
    <w:rsid w:val="0028201C"/>
    <w:rsid w:val="0028222D"/>
    <w:rsid w:val="00283F9C"/>
    <w:rsid w:val="00285033"/>
    <w:rsid w:val="00291347"/>
    <w:rsid w:val="00291739"/>
    <w:rsid w:val="00293002"/>
    <w:rsid w:val="00293457"/>
    <w:rsid w:val="00293EDD"/>
    <w:rsid w:val="00294070"/>
    <w:rsid w:val="00294098"/>
    <w:rsid w:val="002966ED"/>
    <w:rsid w:val="0029763B"/>
    <w:rsid w:val="00297B49"/>
    <w:rsid w:val="002A186F"/>
    <w:rsid w:val="002A2AD0"/>
    <w:rsid w:val="002A7641"/>
    <w:rsid w:val="002B05DE"/>
    <w:rsid w:val="002B0B4D"/>
    <w:rsid w:val="002B1004"/>
    <w:rsid w:val="002B2375"/>
    <w:rsid w:val="002B36EB"/>
    <w:rsid w:val="002B3B2C"/>
    <w:rsid w:val="002B4B21"/>
    <w:rsid w:val="002B6A3B"/>
    <w:rsid w:val="002C0FAB"/>
    <w:rsid w:val="002C1EF4"/>
    <w:rsid w:val="002C75BE"/>
    <w:rsid w:val="002D1112"/>
    <w:rsid w:val="002D1A7D"/>
    <w:rsid w:val="002D36C2"/>
    <w:rsid w:val="002D4E7D"/>
    <w:rsid w:val="002D605A"/>
    <w:rsid w:val="002D664C"/>
    <w:rsid w:val="002D6CD9"/>
    <w:rsid w:val="002D7390"/>
    <w:rsid w:val="002D7796"/>
    <w:rsid w:val="002E0B74"/>
    <w:rsid w:val="002E1442"/>
    <w:rsid w:val="002E2614"/>
    <w:rsid w:val="002E30C3"/>
    <w:rsid w:val="002E3121"/>
    <w:rsid w:val="002E4A54"/>
    <w:rsid w:val="002E5F65"/>
    <w:rsid w:val="002E6006"/>
    <w:rsid w:val="002E73A3"/>
    <w:rsid w:val="002E7B43"/>
    <w:rsid w:val="002F03AB"/>
    <w:rsid w:val="002F22C7"/>
    <w:rsid w:val="002F2A53"/>
    <w:rsid w:val="002F74B9"/>
    <w:rsid w:val="00301891"/>
    <w:rsid w:val="00301BF4"/>
    <w:rsid w:val="00310969"/>
    <w:rsid w:val="00312F18"/>
    <w:rsid w:val="00313B87"/>
    <w:rsid w:val="00314D6E"/>
    <w:rsid w:val="00315E08"/>
    <w:rsid w:val="003228C5"/>
    <w:rsid w:val="003257BD"/>
    <w:rsid w:val="0032601D"/>
    <w:rsid w:val="003263B7"/>
    <w:rsid w:val="00326A4D"/>
    <w:rsid w:val="003275AD"/>
    <w:rsid w:val="003330AA"/>
    <w:rsid w:val="0033310B"/>
    <w:rsid w:val="0033314A"/>
    <w:rsid w:val="00334595"/>
    <w:rsid w:val="00336357"/>
    <w:rsid w:val="00341493"/>
    <w:rsid w:val="003434A9"/>
    <w:rsid w:val="00345F3C"/>
    <w:rsid w:val="003472F9"/>
    <w:rsid w:val="00353A88"/>
    <w:rsid w:val="00355362"/>
    <w:rsid w:val="003568F0"/>
    <w:rsid w:val="00356B7E"/>
    <w:rsid w:val="00357265"/>
    <w:rsid w:val="003600DB"/>
    <w:rsid w:val="00361549"/>
    <w:rsid w:val="003645D8"/>
    <w:rsid w:val="00366AA3"/>
    <w:rsid w:val="0036726E"/>
    <w:rsid w:val="003673C4"/>
    <w:rsid w:val="00370D57"/>
    <w:rsid w:val="00370F01"/>
    <w:rsid w:val="00372BA7"/>
    <w:rsid w:val="00372C92"/>
    <w:rsid w:val="00376473"/>
    <w:rsid w:val="003774F1"/>
    <w:rsid w:val="0038013A"/>
    <w:rsid w:val="00381C25"/>
    <w:rsid w:val="003824C1"/>
    <w:rsid w:val="003843EF"/>
    <w:rsid w:val="00384B8E"/>
    <w:rsid w:val="003853C7"/>
    <w:rsid w:val="003855EC"/>
    <w:rsid w:val="00386B37"/>
    <w:rsid w:val="00393745"/>
    <w:rsid w:val="003A090C"/>
    <w:rsid w:val="003A2767"/>
    <w:rsid w:val="003B0A95"/>
    <w:rsid w:val="003B1665"/>
    <w:rsid w:val="003B18BD"/>
    <w:rsid w:val="003B1A88"/>
    <w:rsid w:val="003B32D2"/>
    <w:rsid w:val="003B5711"/>
    <w:rsid w:val="003B5F00"/>
    <w:rsid w:val="003B7C41"/>
    <w:rsid w:val="003C03DC"/>
    <w:rsid w:val="003C0DAA"/>
    <w:rsid w:val="003C180D"/>
    <w:rsid w:val="003C3381"/>
    <w:rsid w:val="003C34D8"/>
    <w:rsid w:val="003C62D0"/>
    <w:rsid w:val="003C6A1A"/>
    <w:rsid w:val="003D01FB"/>
    <w:rsid w:val="003D0CD9"/>
    <w:rsid w:val="003D1028"/>
    <w:rsid w:val="003D120B"/>
    <w:rsid w:val="003D335B"/>
    <w:rsid w:val="003D38DE"/>
    <w:rsid w:val="003D633D"/>
    <w:rsid w:val="003D788A"/>
    <w:rsid w:val="003E2695"/>
    <w:rsid w:val="003E4C41"/>
    <w:rsid w:val="003E4F3B"/>
    <w:rsid w:val="003E6E41"/>
    <w:rsid w:val="003F3918"/>
    <w:rsid w:val="003F430F"/>
    <w:rsid w:val="00400D40"/>
    <w:rsid w:val="00402FCC"/>
    <w:rsid w:val="00405A61"/>
    <w:rsid w:val="0040608F"/>
    <w:rsid w:val="00406DF1"/>
    <w:rsid w:val="004071B5"/>
    <w:rsid w:val="00407B38"/>
    <w:rsid w:val="004103A1"/>
    <w:rsid w:val="00410DA0"/>
    <w:rsid w:val="004128C6"/>
    <w:rsid w:val="00412A87"/>
    <w:rsid w:val="00412B4B"/>
    <w:rsid w:val="004132C8"/>
    <w:rsid w:val="0041389D"/>
    <w:rsid w:val="00414FBE"/>
    <w:rsid w:val="0041513A"/>
    <w:rsid w:val="00416C7E"/>
    <w:rsid w:val="00417AF6"/>
    <w:rsid w:val="004202E8"/>
    <w:rsid w:val="0042081F"/>
    <w:rsid w:val="004228E9"/>
    <w:rsid w:val="00422CEC"/>
    <w:rsid w:val="00422E82"/>
    <w:rsid w:val="00423843"/>
    <w:rsid w:val="00423F0B"/>
    <w:rsid w:val="00424ACA"/>
    <w:rsid w:val="00425B79"/>
    <w:rsid w:val="00426406"/>
    <w:rsid w:val="00426800"/>
    <w:rsid w:val="0042694E"/>
    <w:rsid w:val="00427930"/>
    <w:rsid w:val="0043161A"/>
    <w:rsid w:val="00432613"/>
    <w:rsid w:val="00432C14"/>
    <w:rsid w:val="00433167"/>
    <w:rsid w:val="00435333"/>
    <w:rsid w:val="00435FB7"/>
    <w:rsid w:val="00437317"/>
    <w:rsid w:val="0044320E"/>
    <w:rsid w:val="00443FC9"/>
    <w:rsid w:val="00447435"/>
    <w:rsid w:val="00447A08"/>
    <w:rsid w:val="0045066A"/>
    <w:rsid w:val="00453518"/>
    <w:rsid w:val="00453526"/>
    <w:rsid w:val="004539A3"/>
    <w:rsid w:val="00455197"/>
    <w:rsid w:val="00460174"/>
    <w:rsid w:val="004608B4"/>
    <w:rsid w:val="00461012"/>
    <w:rsid w:val="00462537"/>
    <w:rsid w:val="00463AB0"/>
    <w:rsid w:val="00465EAF"/>
    <w:rsid w:val="004660E9"/>
    <w:rsid w:val="00466F4D"/>
    <w:rsid w:val="004671F0"/>
    <w:rsid w:val="00467306"/>
    <w:rsid w:val="004708F4"/>
    <w:rsid w:val="004749DF"/>
    <w:rsid w:val="00476802"/>
    <w:rsid w:val="004827F6"/>
    <w:rsid w:val="00482DE2"/>
    <w:rsid w:val="0048408C"/>
    <w:rsid w:val="0048506F"/>
    <w:rsid w:val="0048609A"/>
    <w:rsid w:val="004867C0"/>
    <w:rsid w:val="004874A7"/>
    <w:rsid w:val="00490CFF"/>
    <w:rsid w:val="00494D51"/>
    <w:rsid w:val="00496725"/>
    <w:rsid w:val="00497733"/>
    <w:rsid w:val="004A0943"/>
    <w:rsid w:val="004A1F1D"/>
    <w:rsid w:val="004A2C18"/>
    <w:rsid w:val="004A40D2"/>
    <w:rsid w:val="004A4405"/>
    <w:rsid w:val="004A448B"/>
    <w:rsid w:val="004A61AA"/>
    <w:rsid w:val="004B1B90"/>
    <w:rsid w:val="004B3B08"/>
    <w:rsid w:val="004B4406"/>
    <w:rsid w:val="004C2F13"/>
    <w:rsid w:val="004C310D"/>
    <w:rsid w:val="004C44B3"/>
    <w:rsid w:val="004C53A4"/>
    <w:rsid w:val="004C55D8"/>
    <w:rsid w:val="004C7C77"/>
    <w:rsid w:val="004D09D5"/>
    <w:rsid w:val="004D18ED"/>
    <w:rsid w:val="004D1BCD"/>
    <w:rsid w:val="004D3BD7"/>
    <w:rsid w:val="004D4F97"/>
    <w:rsid w:val="004D5909"/>
    <w:rsid w:val="004E2774"/>
    <w:rsid w:val="004E4AB8"/>
    <w:rsid w:val="004F0CAB"/>
    <w:rsid w:val="004F19A7"/>
    <w:rsid w:val="004F5EAE"/>
    <w:rsid w:val="0050059D"/>
    <w:rsid w:val="00501037"/>
    <w:rsid w:val="005033D1"/>
    <w:rsid w:val="00505237"/>
    <w:rsid w:val="00505566"/>
    <w:rsid w:val="00505CB0"/>
    <w:rsid w:val="00505FE0"/>
    <w:rsid w:val="00507129"/>
    <w:rsid w:val="0051003F"/>
    <w:rsid w:val="00510EE6"/>
    <w:rsid w:val="0051420B"/>
    <w:rsid w:val="00515D8B"/>
    <w:rsid w:val="00516260"/>
    <w:rsid w:val="00516D37"/>
    <w:rsid w:val="00520F08"/>
    <w:rsid w:val="00521035"/>
    <w:rsid w:val="00521213"/>
    <w:rsid w:val="00523FE1"/>
    <w:rsid w:val="0052472A"/>
    <w:rsid w:val="00524936"/>
    <w:rsid w:val="00526489"/>
    <w:rsid w:val="00526FAE"/>
    <w:rsid w:val="00530503"/>
    <w:rsid w:val="005310DA"/>
    <w:rsid w:val="005324E4"/>
    <w:rsid w:val="0053272C"/>
    <w:rsid w:val="00537210"/>
    <w:rsid w:val="0054140A"/>
    <w:rsid w:val="00542169"/>
    <w:rsid w:val="00542CC0"/>
    <w:rsid w:val="00542FE9"/>
    <w:rsid w:val="00545731"/>
    <w:rsid w:val="005468E9"/>
    <w:rsid w:val="005521BC"/>
    <w:rsid w:val="00552ABD"/>
    <w:rsid w:val="00553892"/>
    <w:rsid w:val="005545EC"/>
    <w:rsid w:val="00554FB1"/>
    <w:rsid w:val="00556E57"/>
    <w:rsid w:val="00557530"/>
    <w:rsid w:val="005575E9"/>
    <w:rsid w:val="00557A93"/>
    <w:rsid w:val="00560053"/>
    <w:rsid w:val="005602E9"/>
    <w:rsid w:val="0056165A"/>
    <w:rsid w:val="00561A7D"/>
    <w:rsid w:val="00561BCE"/>
    <w:rsid w:val="005625C1"/>
    <w:rsid w:val="00565331"/>
    <w:rsid w:val="00565581"/>
    <w:rsid w:val="00566EB0"/>
    <w:rsid w:val="00567212"/>
    <w:rsid w:val="005678CE"/>
    <w:rsid w:val="005679A4"/>
    <w:rsid w:val="00567C67"/>
    <w:rsid w:val="00570B02"/>
    <w:rsid w:val="00571E34"/>
    <w:rsid w:val="00572F84"/>
    <w:rsid w:val="00576E9F"/>
    <w:rsid w:val="00581EBF"/>
    <w:rsid w:val="00583F53"/>
    <w:rsid w:val="00584143"/>
    <w:rsid w:val="0058499F"/>
    <w:rsid w:val="00584AB5"/>
    <w:rsid w:val="00584CC2"/>
    <w:rsid w:val="00586135"/>
    <w:rsid w:val="00586F37"/>
    <w:rsid w:val="0058721F"/>
    <w:rsid w:val="00587AAB"/>
    <w:rsid w:val="00590682"/>
    <w:rsid w:val="0059115C"/>
    <w:rsid w:val="0059321F"/>
    <w:rsid w:val="00593845"/>
    <w:rsid w:val="00595312"/>
    <w:rsid w:val="0059576E"/>
    <w:rsid w:val="00595B3F"/>
    <w:rsid w:val="00597856"/>
    <w:rsid w:val="005A0634"/>
    <w:rsid w:val="005A1D58"/>
    <w:rsid w:val="005A2495"/>
    <w:rsid w:val="005A3364"/>
    <w:rsid w:val="005A38C5"/>
    <w:rsid w:val="005A4166"/>
    <w:rsid w:val="005A4AC9"/>
    <w:rsid w:val="005A4FD8"/>
    <w:rsid w:val="005A61E0"/>
    <w:rsid w:val="005B1774"/>
    <w:rsid w:val="005B2D81"/>
    <w:rsid w:val="005B4FB7"/>
    <w:rsid w:val="005B74E4"/>
    <w:rsid w:val="005C317B"/>
    <w:rsid w:val="005C34F5"/>
    <w:rsid w:val="005C3E39"/>
    <w:rsid w:val="005C3F34"/>
    <w:rsid w:val="005C47C9"/>
    <w:rsid w:val="005C5879"/>
    <w:rsid w:val="005C5D34"/>
    <w:rsid w:val="005C6822"/>
    <w:rsid w:val="005C6AEA"/>
    <w:rsid w:val="005D125D"/>
    <w:rsid w:val="005D1685"/>
    <w:rsid w:val="005D1E98"/>
    <w:rsid w:val="005D38D2"/>
    <w:rsid w:val="005D3924"/>
    <w:rsid w:val="005D401D"/>
    <w:rsid w:val="005D74BA"/>
    <w:rsid w:val="005D7D97"/>
    <w:rsid w:val="005E013D"/>
    <w:rsid w:val="005E0400"/>
    <w:rsid w:val="005E0AA8"/>
    <w:rsid w:val="005E1A3E"/>
    <w:rsid w:val="005E3132"/>
    <w:rsid w:val="005E5777"/>
    <w:rsid w:val="005E6107"/>
    <w:rsid w:val="005E6BB5"/>
    <w:rsid w:val="005E6CB0"/>
    <w:rsid w:val="005F1024"/>
    <w:rsid w:val="005F1C20"/>
    <w:rsid w:val="005F243C"/>
    <w:rsid w:val="005F4A73"/>
    <w:rsid w:val="005F7CF2"/>
    <w:rsid w:val="006008D1"/>
    <w:rsid w:val="00600EA4"/>
    <w:rsid w:val="0060391D"/>
    <w:rsid w:val="00603D0A"/>
    <w:rsid w:val="00605DBE"/>
    <w:rsid w:val="00607435"/>
    <w:rsid w:val="00607B47"/>
    <w:rsid w:val="00607C4C"/>
    <w:rsid w:val="006112FC"/>
    <w:rsid w:val="00611592"/>
    <w:rsid w:val="00611846"/>
    <w:rsid w:val="00611935"/>
    <w:rsid w:val="00611C16"/>
    <w:rsid w:val="006137D2"/>
    <w:rsid w:val="00614C1C"/>
    <w:rsid w:val="00614FB8"/>
    <w:rsid w:val="006154AA"/>
    <w:rsid w:val="006158CE"/>
    <w:rsid w:val="00617332"/>
    <w:rsid w:val="00617E40"/>
    <w:rsid w:val="0062118F"/>
    <w:rsid w:val="00621589"/>
    <w:rsid w:val="00621A81"/>
    <w:rsid w:val="00621C0D"/>
    <w:rsid w:val="006227A8"/>
    <w:rsid w:val="00626E9B"/>
    <w:rsid w:val="00627A27"/>
    <w:rsid w:val="00627E31"/>
    <w:rsid w:val="00632EFE"/>
    <w:rsid w:val="00633BEE"/>
    <w:rsid w:val="00633EA8"/>
    <w:rsid w:val="00634663"/>
    <w:rsid w:val="00635348"/>
    <w:rsid w:val="00636316"/>
    <w:rsid w:val="0063748A"/>
    <w:rsid w:val="0064025E"/>
    <w:rsid w:val="006402B2"/>
    <w:rsid w:val="00641DCC"/>
    <w:rsid w:val="0064273C"/>
    <w:rsid w:val="006438D3"/>
    <w:rsid w:val="0064418E"/>
    <w:rsid w:val="006461C2"/>
    <w:rsid w:val="00646213"/>
    <w:rsid w:val="006462D4"/>
    <w:rsid w:val="00647B8D"/>
    <w:rsid w:val="0065004A"/>
    <w:rsid w:val="00650321"/>
    <w:rsid w:val="0065530E"/>
    <w:rsid w:val="00656F91"/>
    <w:rsid w:val="00657DEA"/>
    <w:rsid w:val="006604CF"/>
    <w:rsid w:val="00660B54"/>
    <w:rsid w:val="00664D4D"/>
    <w:rsid w:val="006701BC"/>
    <w:rsid w:val="006716E1"/>
    <w:rsid w:val="00671720"/>
    <w:rsid w:val="00671FA4"/>
    <w:rsid w:val="00675CC9"/>
    <w:rsid w:val="00676352"/>
    <w:rsid w:val="0067720A"/>
    <w:rsid w:val="006778EA"/>
    <w:rsid w:val="00681FCD"/>
    <w:rsid w:val="00686656"/>
    <w:rsid w:val="00686A33"/>
    <w:rsid w:val="00686C4B"/>
    <w:rsid w:val="00686FC0"/>
    <w:rsid w:val="006905B7"/>
    <w:rsid w:val="006911DA"/>
    <w:rsid w:val="00691734"/>
    <w:rsid w:val="006949CA"/>
    <w:rsid w:val="00694A18"/>
    <w:rsid w:val="00694BF3"/>
    <w:rsid w:val="006957F6"/>
    <w:rsid w:val="00696335"/>
    <w:rsid w:val="006A0B89"/>
    <w:rsid w:val="006A17CA"/>
    <w:rsid w:val="006A28BC"/>
    <w:rsid w:val="006A43AE"/>
    <w:rsid w:val="006A5F35"/>
    <w:rsid w:val="006A661E"/>
    <w:rsid w:val="006A7198"/>
    <w:rsid w:val="006B002A"/>
    <w:rsid w:val="006B144A"/>
    <w:rsid w:val="006C0D4E"/>
    <w:rsid w:val="006C26C2"/>
    <w:rsid w:val="006C2C98"/>
    <w:rsid w:val="006C3214"/>
    <w:rsid w:val="006D055A"/>
    <w:rsid w:val="006D2F9F"/>
    <w:rsid w:val="006D3906"/>
    <w:rsid w:val="006D674B"/>
    <w:rsid w:val="006D6D7A"/>
    <w:rsid w:val="006D7A40"/>
    <w:rsid w:val="006E08D5"/>
    <w:rsid w:val="006E147D"/>
    <w:rsid w:val="006E18B0"/>
    <w:rsid w:val="006E1993"/>
    <w:rsid w:val="006E274D"/>
    <w:rsid w:val="006E3096"/>
    <w:rsid w:val="006E60E3"/>
    <w:rsid w:val="006E69A5"/>
    <w:rsid w:val="006E6DD2"/>
    <w:rsid w:val="006F367C"/>
    <w:rsid w:val="006F3BE0"/>
    <w:rsid w:val="006F51C3"/>
    <w:rsid w:val="006F59C8"/>
    <w:rsid w:val="0070001C"/>
    <w:rsid w:val="0070052F"/>
    <w:rsid w:val="00701845"/>
    <w:rsid w:val="00702001"/>
    <w:rsid w:val="0070251F"/>
    <w:rsid w:val="0070283E"/>
    <w:rsid w:val="007028C0"/>
    <w:rsid w:val="00703349"/>
    <w:rsid w:val="0070334B"/>
    <w:rsid w:val="007045F1"/>
    <w:rsid w:val="00705D2D"/>
    <w:rsid w:val="007064E8"/>
    <w:rsid w:val="0071143E"/>
    <w:rsid w:val="007123EA"/>
    <w:rsid w:val="00712C06"/>
    <w:rsid w:val="007167DE"/>
    <w:rsid w:val="00716DFB"/>
    <w:rsid w:val="00716F72"/>
    <w:rsid w:val="00721F6C"/>
    <w:rsid w:val="00730D97"/>
    <w:rsid w:val="00731D0A"/>
    <w:rsid w:val="007321E9"/>
    <w:rsid w:val="00733A0F"/>
    <w:rsid w:val="00734BD6"/>
    <w:rsid w:val="0074003F"/>
    <w:rsid w:val="007436E8"/>
    <w:rsid w:val="00743DD0"/>
    <w:rsid w:val="00744293"/>
    <w:rsid w:val="00745C57"/>
    <w:rsid w:val="0074635E"/>
    <w:rsid w:val="007466A0"/>
    <w:rsid w:val="00751B92"/>
    <w:rsid w:val="0075230D"/>
    <w:rsid w:val="00752732"/>
    <w:rsid w:val="007527D2"/>
    <w:rsid w:val="00754A63"/>
    <w:rsid w:val="00757B53"/>
    <w:rsid w:val="00762184"/>
    <w:rsid w:val="0076224E"/>
    <w:rsid w:val="007624F4"/>
    <w:rsid w:val="007653AA"/>
    <w:rsid w:val="0076632A"/>
    <w:rsid w:val="00767494"/>
    <w:rsid w:val="00767F3B"/>
    <w:rsid w:val="00767F8C"/>
    <w:rsid w:val="00773D2C"/>
    <w:rsid w:val="007829D2"/>
    <w:rsid w:val="007872DE"/>
    <w:rsid w:val="00790746"/>
    <w:rsid w:val="00792180"/>
    <w:rsid w:val="00792FF4"/>
    <w:rsid w:val="0079321F"/>
    <w:rsid w:val="00794EA4"/>
    <w:rsid w:val="00797EE0"/>
    <w:rsid w:val="007A02C8"/>
    <w:rsid w:val="007A1E57"/>
    <w:rsid w:val="007A23E2"/>
    <w:rsid w:val="007A71B3"/>
    <w:rsid w:val="007B2505"/>
    <w:rsid w:val="007B5401"/>
    <w:rsid w:val="007B5693"/>
    <w:rsid w:val="007B5C18"/>
    <w:rsid w:val="007B7332"/>
    <w:rsid w:val="007B7365"/>
    <w:rsid w:val="007B7B0E"/>
    <w:rsid w:val="007C008A"/>
    <w:rsid w:val="007C0516"/>
    <w:rsid w:val="007C1371"/>
    <w:rsid w:val="007C312A"/>
    <w:rsid w:val="007C3D2C"/>
    <w:rsid w:val="007C3E6E"/>
    <w:rsid w:val="007C4B6D"/>
    <w:rsid w:val="007C4BAF"/>
    <w:rsid w:val="007C6913"/>
    <w:rsid w:val="007C7666"/>
    <w:rsid w:val="007D1078"/>
    <w:rsid w:val="007D246C"/>
    <w:rsid w:val="007D299F"/>
    <w:rsid w:val="007D3340"/>
    <w:rsid w:val="007E1124"/>
    <w:rsid w:val="007E1623"/>
    <w:rsid w:val="007E22D8"/>
    <w:rsid w:val="007E36B0"/>
    <w:rsid w:val="007E40FE"/>
    <w:rsid w:val="007E45B1"/>
    <w:rsid w:val="007E47C3"/>
    <w:rsid w:val="007E6762"/>
    <w:rsid w:val="007E6E8C"/>
    <w:rsid w:val="007E7869"/>
    <w:rsid w:val="007F0820"/>
    <w:rsid w:val="007F664C"/>
    <w:rsid w:val="007F683C"/>
    <w:rsid w:val="00800678"/>
    <w:rsid w:val="008019CD"/>
    <w:rsid w:val="00801B89"/>
    <w:rsid w:val="0080345A"/>
    <w:rsid w:val="008035E9"/>
    <w:rsid w:val="00804175"/>
    <w:rsid w:val="0080664F"/>
    <w:rsid w:val="008076BC"/>
    <w:rsid w:val="00814FD9"/>
    <w:rsid w:val="00815DC9"/>
    <w:rsid w:val="008214B3"/>
    <w:rsid w:val="00821FD4"/>
    <w:rsid w:val="0082244E"/>
    <w:rsid w:val="0082353D"/>
    <w:rsid w:val="00825A10"/>
    <w:rsid w:val="00826F90"/>
    <w:rsid w:val="0083085F"/>
    <w:rsid w:val="008310BF"/>
    <w:rsid w:val="00831568"/>
    <w:rsid w:val="0083340B"/>
    <w:rsid w:val="008407E1"/>
    <w:rsid w:val="00840919"/>
    <w:rsid w:val="00841D47"/>
    <w:rsid w:val="00843018"/>
    <w:rsid w:val="00843CEB"/>
    <w:rsid w:val="00843DDD"/>
    <w:rsid w:val="00844487"/>
    <w:rsid w:val="00845833"/>
    <w:rsid w:val="00845A2D"/>
    <w:rsid w:val="008471EE"/>
    <w:rsid w:val="00850C13"/>
    <w:rsid w:val="00852536"/>
    <w:rsid w:val="00852828"/>
    <w:rsid w:val="00853BCB"/>
    <w:rsid w:val="00854D57"/>
    <w:rsid w:val="0085667A"/>
    <w:rsid w:val="008605C6"/>
    <w:rsid w:val="00863116"/>
    <w:rsid w:val="00864501"/>
    <w:rsid w:val="008647B8"/>
    <w:rsid w:val="00865147"/>
    <w:rsid w:val="0086563E"/>
    <w:rsid w:val="00865988"/>
    <w:rsid w:val="008732AB"/>
    <w:rsid w:val="00873F6D"/>
    <w:rsid w:val="0087504B"/>
    <w:rsid w:val="00877D03"/>
    <w:rsid w:val="008803B0"/>
    <w:rsid w:val="008803F6"/>
    <w:rsid w:val="00880E72"/>
    <w:rsid w:val="0088474D"/>
    <w:rsid w:val="0088540A"/>
    <w:rsid w:val="00890280"/>
    <w:rsid w:val="008906BB"/>
    <w:rsid w:val="00891961"/>
    <w:rsid w:val="00893D19"/>
    <w:rsid w:val="00893E16"/>
    <w:rsid w:val="00894D2E"/>
    <w:rsid w:val="00897878"/>
    <w:rsid w:val="008A0352"/>
    <w:rsid w:val="008A0815"/>
    <w:rsid w:val="008A1025"/>
    <w:rsid w:val="008A11D8"/>
    <w:rsid w:val="008A2906"/>
    <w:rsid w:val="008A2C3E"/>
    <w:rsid w:val="008A301B"/>
    <w:rsid w:val="008A38F3"/>
    <w:rsid w:val="008A4C5F"/>
    <w:rsid w:val="008A5004"/>
    <w:rsid w:val="008A577F"/>
    <w:rsid w:val="008A7C5D"/>
    <w:rsid w:val="008B0BFC"/>
    <w:rsid w:val="008B2D8C"/>
    <w:rsid w:val="008B397A"/>
    <w:rsid w:val="008B5DB6"/>
    <w:rsid w:val="008B7A4E"/>
    <w:rsid w:val="008B7AB4"/>
    <w:rsid w:val="008C06AA"/>
    <w:rsid w:val="008C0A80"/>
    <w:rsid w:val="008C0E55"/>
    <w:rsid w:val="008C1CF0"/>
    <w:rsid w:val="008C32C7"/>
    <w:rsid w:val="008C3391"/>
    <w:rsid w:val="008C3C3D"/>
    <w:rsid w:val="008C3EF9"/>
    <w:rsid w:val="008C494E"/>
    <w:rsid w:val="008C495F"/>
    <w:rsid w:val="008C5753"/>
    <w:rsid w:val="008C5872"/>
    <w:rsid w:val="008C6537"/>
    <w:rsid w:val="008C69A5"/>
    <w:rsid w:val="008C6DBF"/>
    <w:rsid w:val="008C6E43"/>
    <w:rsid w:val="008C7E73"/>
    <w:rsid w:val="008C7EBD"/>
    <w:rsid w:val="008D1204"/>
    <w:rsid w:val="008D1C82"/>
    <w:rsid w:val="008D2463"/>
    <w:rsid w:val="008D28AE"/>
    <w:rsid w:val="008D2CB7"/>
    <w:rsid w:val="008D3257"/>
    <w:rsid w:val="008D42E8"/>
    <w:rsid w:val="008D54B8"/>
    <w:rsid w:val="008D6AC0"/>
    <w:rsid w:val="008D6B51"/>
    <w:rsid w:val="008D6C08"/>
    <w:rsid w:val="008D7AA3"/>
    <w:rsid w:val="008E085A"/>
    <w:rsid w:val="008E0C99"/>
    <w:rsid w:val="008E183E"/>
    <w:rsid w:val="008E43C6"/>
    <w:rsid w:val="008E5144"/>
    <w:rsid w:val="008E7C25"/>
    <w:rsid w:val="008F22D1"/>
    <w:rsid w:val="008F2998"/>
    <w:rsid w:val="008F46B9"/>
    <w:rsid w:val="008F4993"/>
    <w:rsid w:val="008F4A24"/>
    <w:rsid w:val="008F4BCC"/>
    <w:rsid w:val="0090073F"/>
    <w:rsid w:val="00900AA2"/>
    <w:rsid w:val="00900DDC"/>
    <w:rsid w:val="00901781"/>
    <w:rsid w:val="00901BDB"/>
    <w:rsid w:val="009045CC"/>
    <w:rsid w:val="00906C5B"/>
    <w:rsid w:val="00906CE3"/>
    <w:rsid w:val="0090727D"/>
    <w:rsid w:val="00907E5C"/>
    <w:rsid w:val="00913881"/>
    <w:rsid w:val="00917290"/>
    <w:rsid w:val="0091770E"/>
    <w:rsid w:val="00917B7C"/>
    <w:rsid w:val="009206ED"/>
    <w:rsid w:val="0092165B"/>
    <w:rsid w:val="009226E9"/>
    <w:rsid w:val="00930C18"/>
    <w:rsid w:val="009316BD"/>
    <w:rsid w:val="00932B49"/>
    <w:rsid w:val="00932CE2"/>
    <w:rsid w:val="00934054"/>
    <w:rsid w:val="00934463"/>
    <w:rsid w:val="009349D3"/>
    <w:rsid w:val="00941065"/>
    <w:rsid w:val="00942388"/>
    <w:rsid w:val="0094248F"/>
    <w:rsid w:val="00942DCC"/>
    <w:rsid w:val="0094323B"/>
    <w:rsid w:val="00944A08"/>
    <w:rsid w:val="009451B1"/>
    <w:rsid w:val="00945678"/>
    <w:rsid w:val="00946763"/>
    <w:rsid w:val="0095198B"/>
    <w:rsid w:val="009520FF"/>
    <w:rsid w:val="009533B9"/>
    <w:rsid w:val="00953D72"/>
    <w:rsid w:val="009556FA"/>
    <w:rsid w:val="00956BE1"/>
    <w:rsid w:val="009603D2"/>
    <w:rsid w:val="00962921"/>
    <w:rsid w:val="00963DB4"/>
    <w:rsid w:val="009642C1"/>
    <w:rsid w:val="0096457E"/>
    <w:rsid w:val="00970B1A"/>
    <w:rsid w:val="00970DD3"/>
    <w:rsid w:val="009760B1"/>
    <w:rsid w:val="00980101"/>
    <w:rsid w:val="00980B0E"/>
    <w:rsid w:val="00981052"/>
    <w:rsid w:val="0098105E"/>
    <w:rsid w:val="009812D9"/>
    <w:rsid w:val="00981C26"/>
    <w:rsid w:val="009868F1"/>
    <w:rsid w:val="00987AD4"/>
    <w:rsid w:val="00987CEA"/>
    <w:rsid w:val="00990A97"/>
    <w:rsid w:val="00992833"/>
    <w:rsid w:val="00992F95"/>
    <w:rsid w:val="0099633E"/>
    <w:rsid w:val="00997006"/>
    <w:rsid w:val="00997842"/>
    <w:rsid w:val="009A230F"/>
    <w:rsid w:val="009A278C"/>
    <w:rsid w:val="009A279E"/>
    <w:rsid w:val="009A3BB2"/>
    <w:rsid w:val="009A42E4"/>
    <w:rsid w:val="009A6B3E"/>
    <w:rsid w:val="009A6C99"/>
    <w:rsid w:val="009A7E31"/>
    <w:rsid w:val="009B13D5"/>
    <w:rsid w:val="009B13DD"/>
    <w:rsid w:val="009B1995"/>
    <w:rsid w:val="009B3631"/>
    <w:rsid w:val="009B522C"/>
    <w:rsid w:val="009B55DC"/>
    <w:rsid w:val="009B5F50"/>
    <w:rsid w:val="009B63A3"/>
    <w:rsid w:val="009B75C6"/>
    <w:rsid w:val="009B760B"/>
    <w:rsid w:val="009B772E"/>
    <w:rsid w:val="009C0120"/>
    <w:rsid w:val="009C1A1C"/>
    <w:rsid w:val="009C1D81"/>
    <w:rsid w:val="009C25B9"/>
    <w:rsid w:val="009C2932"/>
    <w:rsid w:val="009C3140"/>
    <w:rsid w:val="009C3258"/>
    <w:rsid w:val="009C4158"/>
    <w:rsid w:val="009C4C3D"/>
    <w:rsid w:val="009C6D79"/>
    <w:rsid w:val="009C6EA0"/>
    <w:rsid w:val="009C72D4"/>
    <w:rsid w:val="009D0CA4"/>
    <w:rsid w:val="009D1271"/>
    <w:rsid w:val="009D335A"/>
    <w:rsid w:val="009D4B42"/>
    <w:rsid w:val="009D4C09"/>
    <w:rsid w:val="009D4EFA"/>
    <w:rsid w:val="009D5741"/>
    <w:rsid w:val="009D5A13"/>
    <w:rsid w:val="009D76DF"/>
    <w:rsid w:val="009E051A"/>
    <w:rsid w:val="009E0DB6"/>
    <w:rsid w:val="009E1AE3"/>
    <w:rsid w:val="009E290E"/>
    <w:rsid w:val="009E2F15"/>
    <w:rsid w:val="009E4AED"/>
    <w:rsid w:val="009E5444"/>
    <w:rsid w:val="009E5FDA"/>
    <w:rsid w:val="009E605B"/>
    <w:rsid w:val="009E60DC"/>
    <w:rsid w:val="009E6D35"/>
    <w:rsid w:val="009E735D"/>
    <w:rsid w:val="009F0F68"/>
    <w:rsid w:val="009F5853"/>
    <w:rsid w:val="009F688F"/>
    <w:rsid w:val="009F6CEE"/>
    <w:rsid w:val="009F7DA8"/>
    <w:rsid w:val="00A02EA4"/>
    <w:rsid w:val="00A03FC7"/>
    <w:rsid w:val="00A04D65"/>
    <w:rsid w:val="00A06A12"/>
    <w:rsid w:val="00A06ED9"/>
    <w:rsid w:val="00A071B3"/>
    <w:rsid w:val="00A1072B"/>
    <w:rsid w:val="00A10A4D"/>
    <w:rsid w:val="00A112CB"/>
    <w:rsid w:val="00A12057"/>
    <w:rsid w:val="00A12668"/>
    <w:rsid w:val="00A14089"/>
    <w:rsid w:val="00A14446"/>
    <w:rsid w:val="00A14E38"/>
    <w:rsid w:val="00A15E40"/>
    <w:rsid w:val="00A177F4"/>
    <w:rsid w:val="00A21B3C"/>
    <w:rsid w:val="00A220D7"/>
    <w:rsid w:val="00A25AD3"/>
    <w:rsid w:val="00A265DD"/>
    <w:rsid w:val="00A313E5"/>
    <w:rsid w:val="00A325A6"/>
    <w:rsid w:val="00A35751"/>
    <w:rsid w:val="00A35805"/>
    <w:rsid w:val="00A3668A"/>
    <w:rsid w:val="00A366E6"/>
    <w:rsid w:val="00A36E05"/>
    <w:rsid w:val="00A372B3"/>
    <w:rsid w:val="00A4062F"/>
    <w:rsid w:val="00A412F5"/>
    <w:rsid w:val="00A414FC"/>
    <w:rsid w:val="00A4151A"/>
    <w:rsid w:val="00A425DA"/>
    <w:rsid w:val="00A43752"/>
    <w:rsid w:val="00A43B3B"/>
    <w:rsid w:val="00A43B78"/>
    <w:rsid w:val="00A44207"/>
    <w:rsid w:val="00A47A41"/>
    <w:rsid w:val="00A47F1E"/>
    <w:rsid w:val="00A5073B"/>
    <w:rsid w:val="00A512DE"/>
    <w:rsid w:val="00A516BD"/>
    <w:rsid w:val="00A52234"/>
    <w:rsid w:val="00A5346B"/>
    <w:rsid w:val="00A57484"/>
    <w:rsid w:val="00A60833"/>
    <w:rsid w:val="00A60F0F"/>
    <w:rsid w:val="00A60F78"/>
    <w:rsid w:val="00A6160D"/>
    <w:rsid w:val="00A620F3"/>
    <w:rsid w:val="00A62716"/>
    <w:rsid w:val="00A64471"/>
    <w:rsid w:val="00A6546E"/>
    <w:rsid w:val="00A65B81"/>
    <w:rsid w:val="00A65CB2"/>
    <w:rsid w:val="00A662A4"/>
    <w:rsid w:val="00A66FFC"/>
    <w:rsid w:val="00A67102"/>
    <w:rsid w:val="00A67512"/>
    <w:rsid w:val="00A702BE"/>
    <w:rsid w:val="00A705F0"/>
    <w:rsid w:val="00A70D71"/>
    <w:rsid w:val="00A756CE"/>
    <w:rsid w:val="00A7618D"/>
    <w:rsid w:val="00A7655D"/>
    <w:rsid w:val="00A76F6B"/>
    <w:rsid w:val="00A77D4B"/>
    <w:rsid w:val="00A800A1"/>
    <w:rsid w:val="00A807C4"/>
    <w:rsid w:val="00A817C3"/>
    <w:rsid w:val="00A86443"/>
    <w:rsid w:val="00A92D7D"/>
    <w:rsid w:val="00A9310E"/>
    <w:rsid w:val="00AA0B5E"/>
    <w:rsid w:val="00AA1484"/>
    <w:rsid w:val="00AA23F7"/>
    <w:rsid w:val="00AA24C9"/>
    <w:rsid w:val="00AA2726"/>
    <w:rsid w:val="00AA2DCF"/>
    <w:rsid w:val="00AA340C"/>
    <w:rsid w:val="00AA37A1"/>
    <w:rsid w:val="00AA3A5B"/>
    <w:rsid w:val="00AA490F"/>
    <w:rsid w:val="00AA56FC"/>
    <w:rsid w:val="00AA596B"/>
    <w:rsid w:val="00AA5CC0"/>
    <w:rsid w:val="00AB1810"/>
    <w:rsid w:val="00AB5BE9"/>
    <w:rsid w:val="00AB615B"/>
    <w:rsid w:val="00AB7652"/>
    <w:rsid w:val="00AC0235"/>
    <w:rsid w:val="00AC0644"/>
    <w:rsid w:val="00AC225D"/>
    <w:rsid w:val="00AC2FC3"/>
    <w:rsid w:val="00AC3A6E"/>
    <w:rsid w:val="00AC496C"/>
    <w:rsid w:val="00AC5D07"/>
    <w:rsid w:val="00AC64B6"/>
    <w:rsid w:val="00AC6819"/>
    <w:rsid w:val="00AC78F7"/>
    <w:rsid w:val="00AC7960"/>
    <w:rsid w:val="00AD1068"/>
    <w:rsid w:val="00AD1B96"/>
    <w:rsid w:val="00AD1F3C"/>
    <w:rsid w:val="00AD3AE3"/>
    <w:rsid w:val="00AD4CFF"/>
    <w:rsid w:val="00AD5A99"/>
    <w:rsid w:val="00AD5E35"/>
    <w:rsid w:val="00AD5FDE"/>
    <w:rsid w:val="00AD7D2C"/>
    <w:rsid w:val="00AE1871"/>
    <w:rsid w:val="00AE1A24"/>
    <w:rsid w:val="00AE1F96"/>
    <w:rsid w:val="00AE2AB5"/>
    <w:rsid w:val="00AE3F90"/>
    <w:rsid w:val="00AE4532"/>
    <w:rsid w:val="00AE5658"/>
    <w:rsid w:val="00AE69F5"/>
    <w:rsid w:val="00AE6B52"/>
    <w:rsid w:val="00AE7BFE"/>
    <w:rsid w:val="00AF00B4"/>
    <w:rsid w:val="00AF11D7"/>
    <w:rsid w:val="00AF3C96"/>
    <w:rsid w:val="00AF44E3"/>
    <w:rsid w:val="00AF6264"/>
    <w:rsid w:val="00AF708C"/>
    <w:rsid w:val="00AF711D"/>
    <w:rsid w:val="00AF7C61"/>
    <w:rsid w:val="00B00C39"/>
    <w:rsid w:val="00B017DE"/>
    <w:rsid w:val="00B01B99"/>
    <w:rsid w:val="00B01C35"/>
    <w:rsid w:val="00B023E4"/>
    <w:rsid w:val="00B029EA"/>
    <w:rsid w:val="00B054FD"/>
    <w:rsid w:val="00B06451"/>
    <w:rsid w:val="00B07568"/>
    <w:rsid w:val="00B1019A"/>
    <w:rsid w:val="00B12C47"/>
    <w:rsid w:val="00B1434B"/>
    <w:rsid w:val="00B17562"/>
    <w:rsid w:val="00B20260"/>
    <w:rsid w:val="00B20B9E"/>
    <w:rsid w:val="00B23E3D"/>
    <w:rsid w:val="00B2531E"/>
    <w:rsid w:val="00B253B6"/>
    <w:rsid w:val="00B268F7"/>
    <w:rsid w:val="00B272BB"/>
    <w:rsid w:val="00B30BE3"/>
    <w:rsid w:val="00B3111C"/>
    <w:rsid w:val="00B3201C"/>
    <w:rsid w:val="00B323D9"/>
    <w:rsid w:val="00B32711"/>
    <w:rsid w:val="00B334FB"/>
    <w:rsid w:val="00B3411A"/>
    <w:rsid w:val="00B344CD"/>
    <w:rsid w:val="00B36058"/>
    <w:rsid w:val="00B3610F"/>
    <w:rsid w:val="00B3714E"/>
    <w:rsid w:val="00B37DF1"/>
    <w:rsid w:val="00B37E0F"/>
    <w:rsid w:val="00B41D5B"/>
    <w:rsid w:val="00B41FA5"/>
    <w:rsid w:val="00B42756"/>
    <w:rsid w:val="00B42DA3"/>
    <w:rsid w:val="00B450CC"/>
    <w:rsid w:val="00B45F95"/>
    <w:rsid w:val="00B473F8"/>
    <w:rsid w:val="00B50411"/>
    <w:rsid w:val="00B5046A"/>
    <w:rsid w:val="00B50C70"/>
    <w:rsid w:val="00B51388"/>
    <w:rsid w:val="00B52E80"/>
    <w:rsid w:val="00B55672"/>
    <w:rsid w:val="00B55A73"/>
    <w:rsid w:val="00B562B5"/>
    <w:rsid w:val="00B5671F"/>
    <w:rsid w:val="00B56CFB"/>
    <w:rsid w:val="00B60BA2"/>
    <w:rsid w:val="00B61386"/>
    <w:rsid w:val="00B653D6"/>
    <w:rsid w:val="00B661A8"/>
    <w:rsid w:val="00B727B8"/>
    <w:rsid w:val="00B72904"/>
    <w:rsid w:val="00B732D0"/>
    <w:rsid w:val="00B749EE"/>
    <w:rsid w:val="00B7655F"/>
    <w:rsid w:val="00B7692E"/>
    <w:rsid w:val="00B77C57"/>
    <w:rsid w:val="00B80E37"/>
    <w:rsid w:val="00B81344"/>
    <w:rsid w:val="00B81673"/>
    <w:rsid w:val="00B8202C"/>
    <w:rsid w:val="00B84752"/>
    <w:rsid w:val="00B849A1"/>
    <w:rsid w:val="00B84EAA"/>
    <w:rsid w:val="00B855FB"/>
    <w:rsid w:val="00B8589B"/>
    <w:rsid w:val="00B87034"/>
    <w:rsid w:val="00B90470"/>
    <w:rsid w:val="00B919BF"/>
    <w:rsid w:val="00B92725"/>
    <w:rsid w:val="00B92F16"/>
    <w:rsid w:val="00B936B9"/>
    <w:rsid w:val="00B939BB"/>
    <w:rsid w:val="00B947C4"/>
    <w:rsid w:val="00B947F3"/>
    <w:rsid w:val="00B96DC4"/>
    <w:rsid w:val="00B97D0B"/>
    <w:rsid w:val="00BA04EF"/>
    <w:rsid w:val="00BA0C56"/>
    <w:rsid w:val="00BA1ED8"/>
    <w:rsid w:val="00BA238B"/>
    <w:rsid w:val="00BA23CD"/>
    <w:rsid w:val="00BA29BD"/>
    <w:rsid w:val="00BA3C17"/>
    <w:rsid w:val="00BA42E0"/>
    <w:rsid w:val="00BA5852"/>
    <w:rsid w:val="00BA5C88"/>
    <w:rsid w:val="00BA774F"/>
    <w:rsid w:val="00BB07CE"/>
    <w:rsid w:val="00BB2E49"/>
    <w:rsid w:val="00BB35A3"/>
    <w:rsid w:val="00BB4840"/>
    <w:rsid w:val="00BB54EE"/>
    <w:rsid w:val="00BB5C01"/>
    <w:rsid w:val="00BC06B6"/>
    <w:rsid w:val="00BC0844"/>
    <w:rsid w:val="00BC12FA"/>
    <w:rsid w:val="00BC2012"/>
    <w:rsid w:val="00BC270F"/>
    <w:rsid w:val="00BC543B"/>
    <w:rsid w:val="00BC570D"/>
    <w:rsid w:val="00BC7A3B"/>
    <w:rsid w:val="00BC7B91"/>
    <w:rsid w:val="00BD0FAC"/>
    <w:rsid w:val="00BD18E6"/>
    <w:rsid w:val="00BD2C74"/>
    <w:rsid w:val="00BD2C85"/>
    <w:rsid w:val="00BD3445"/>
    <w:rsid w:val="00BD3C8A"/>
    <w:rsid w:val="00BD4C81"/>
    <w:rsid w:val="00BD5161"/>
    <w:rsid w:val="00BE4EEF"/>
    <w:rsid w:val="00BE6F3D"/>
    <w:rsid w:val="00BF0FE2"/>
    <w:rsid w:val="00BF20A9"/>
    <w:rsid w:val="00BF2BEF"/>
    <w:rsid w:val="00BF34CF"/>
    <w:rsid w:val="00BF358A"/>
    <w:rsid w:val="00BF3F22"/>
    <w:rsid w:val="00BF5236"/>
    <w:rsid w:val="00BF6CF7"/>
    <w:rsid w:val="00BF7C71"/>
    <w:rsid w:val="00C0004F"/>
    <w:rsid w:val="00C018E9"/>
    <w:rsid w:val="00C0267E"/>
    <w:rsid w:val="00C04F35"/>
    <w:rsid w:val="00C06AD3"/>
    <w:rsid w:val="00C10071"/>
    <w:rsid w:val="00C103E3"/>
    <w:rsid w:val="00C12769"/>
    <w:rsid w:val="00C12C18"/>
    <w:rsid w:val="00C12E5C"/>
    <w:rsid w:val="00C13C15"/>
    <w:rsid w:val="00C163CA"/>
    <w:rsid w:val="00C17E65"/>
    <w:rsid w:val="00C17FEB"/>
    <w:rsid w:val="00C203FA"/>
    <w:rsid w:val="00C20CB8"/>
    <w:rsid w:val="00C20EF7"/>
    <w:rsid w:val="00C2136B"/>
    <w:rsid w:val="00C21DD3"/>
    <w:rsid w:val="00C2382B"/>
    <w:rsid w:val="00C23852"/>
    <w:rsid w:val="00C23B81"/>
    <w:rsid w:val="00C25DF6"/>
    <w:rsid w:val="00C2728A"/>
    <w:rsid w:val="00C27EB2"/>
    <w:rsid w:val="00C32E74"/>
    <w:rsid w:val="00C334E9"/>
    <w:rsid w:val="00C33528"/>
    <w:rsid w:val="00C34AF7"/>
    <w:rsid w:val="00C361A4"/>
    <w:rsid w:val="00C41F7E"/>
    <w:rsid w:val="00C43D1C"/>
    <w:rsid w:val="00C44A75"/>
    <w:rsid w:val="00C44C35"/>
    <w:rsid w:val="00C457CF"/>
    <w:rsid w:val="00C5104B"/>
    <w:rsid w:val="00C51150"/>
    <w:rsid w:val="00C5188C"/>
    <w:rsid w:val="00C532B6"/>
    <w:rsid w:val="00C5392D"/>
    <w:rsid w:val="00C557C6"/>
    <w:rsid w:val="00C56134"/>
    <w:rsid w:val="00C56A8B"/>
    <w:rsid w:val="00C575C2"/>
    <w:rsid w:val="00C6119E"/>
    <w:rsid w:val="00C62457"/>
    <w:rsid w:val="00C64B2F"/>
    <w:rsid w:val="00C65983"/>
    <w:rsid w:val="00C66237"/>
    <w:rsid w:val="00C66CAD"/>
    <w:rsid w:val="00C70A42"/>
    <w:rsid w:val="00C73723"/>
    <w:rsid w:val="00C74D2C"/>
    <w:rsid w:val="00C75C4B"/>
    <w:rsid w:val="00C76B87"/>
    <w:rsid w:val="00C76B9E"/>
    <w:rsid w:val="00C76E91"/>
    <w:rsid w:val="00C814DA"/>
    <w:rsid w:val="00C84B8C"/>
    <w:rsid w:val="00C87093"/>
    <w:rsid w:val="00C87E8B"/>
    <w:rsid w:val="00C913F4"/>
    <w:rsid w:val="00C92C15"/>
    <w:rsid w:val="00C95BAD"/>
    <w:rsid w:val="00C95C60"/>
    <w:rsid w:val="00CA0295"/>
    <w:rsid w:val="00CA0E58"/>
    <w:rsid w:val="00CA1E28"/>
    <w:rsid w:val="00CA3BB7"/>
    <w:rsid w:val="00CA4576"/>
    <w:rsid w:val="00CA46C2"/>
    <w:rsid w:val="00CA5FF7"/>
    <w:rsid w:val="00CA6958"/>
    <w:rsid w:val="00CB0ABA"/>
    <w:rsid w:val="00CB0FA8"/>
    <w:rsid w:val="00CB15EF"/>
    <w:rsid w:val="00CB1793"/>
    <w:rsid w:val="00CB27B8"/>
    <w:rsid w:val="00CC26D7"/>
    <w:rsid w:val="00CC2AC3"/>
    <w:rsid w:val="00CC2F47"/>
    <w:rsid w:val="00CC350F"/>
    <w:rsid w:val="00CC4E26"/>
    <w:rsid w:val="00CC56CC"/>
    <w:rsid w:val="00CC56DF"/>
    <w:rsid w:val="00CC6A0B"/>
    <w:rsid w:val="00CD0AA7"/>
    <w:rsid w:val="00CD4302"/>
    <w:rsid w:val="00CD4773"/>
    <w:rsid w:val="00CD50B6"/>
    <w:rsid w:val="00CD6810"/>
    <w:rsid w:val="00CE0EFC"/>
    <w:rsid w:val="00CE238B"/>
    <w:rsid w:val="00CE3A54"/>
    <w:rsid w:val="00CE443A"/>
    <w:rsid w:val="00CE4967"/>
    <w:rsid w:val="00CE6460"/>
    <w:rsid w:val="00CE75AF"/>
    <w:rsid w:val="00CE77A5"/>
    <w:rsid w:val="00CF125E"/>
    <w:rsid w:val="00CF1CCD"/>
    <w:rsid w:val="00CF1E23"/>
    <w:rsid w:val="00CF284F"/>
    <w:rsid w:val="00CF4FBC"/>
    <w:rsid w:val="00CF52E8"/>
    <w:rsid w:val="00CF76A5"/>
    <w:rsid w:val="00D0113E"/>
    <w:rsid w:val="00D01239"/>
    <w:rsid w:val="00D01FE2"/>
    <w:rsid w:val="00D02148"/>
    <w:rsid w:val="00D02EA1"/>
    <w:rsid w:val="00D037E3"/>
    <w:rsid w:val="00D038DD"/>
    <w:rsid w:val="00D03F74"/>
    <w:rsid w:val="00D04F80"/>
    <w:rsid w:val="00D05829"/>
    <w:rsid w:val="00D1153D"/>
    <w:rsid w:val="00D12560"/>
    <w:rsid w:val="00D133B7"/>
    <w:rsid w:val="00D136A9"/>
    <w:rsid w:val="00D13BBF"/>
    <w:rsid w:val="00D16092"/>
    <w:rsid w:val="00D1709D"/>
    <w:rsid w:val="00D22606"/>
    <w:rsid w:val="00D235A7"/>
    <w:rsid w:val="00D24582"/>
    <w:rsid w:val="00D2462A"/>
    <w:rsid w:val="00D24B94"/>
    <w:rsid w:val="00D24D5B"/>
    <w:rsid w:val="00D2684D"/>
    <w:rsid w:val="00D31612"/>
    <w:rsid w:val="00D32118"/>
    <w:rsid w:val="00D32822"/>
    <w:rsid w:val="00D32AAA"/>
    <w:rsid w:val="00D3680A"/>
    <w:rsid w:val="00D36F20"/>
    <w:rsid w:val="00D4006B"/>
    <w:rsid w:val="00D4371A"/>
    <w:rsid w:val="00D44052"/>
    <w:rsid w:val="00D471A9"/>
    <w:rsid w:val="00D478DE"/>
    <w:rsid w:val="00D50829"/>
    <w:rsid w:val="00D5109E"/>
    <w:rsid w:val="00D514EC"/>
    <w:rsid w:val="00D53566"/>
    <w:rsid w:val="00D54C6D"/>
    <w:rsid w:val="00D55DDF"/>
    <w:rsid w:val="00D577AF"/>
    <w:rsid w:val="00D57CD2"/>
    <w:rsid w:val="00D6165F"/>
    <w:rsid w:val="00D64D2C"/>
    <w:rsid w:val="00D65DD4"/>
    <w:rsid w:val="00D66389"/>
    <w:rsid w:val="00D70E9C"/>
    <w:rsid w:val="00D75238"/>
    <w:rsid w:val="00D77BE7"/>
    <w:rsid w:val="00D81073"/>
    <w:rsid w:val="00D819E4"/>
    <w:rsid w:val="00D84AB8"/>
    <w:rsid w:val="00D85F67"/>
    <w:rsid w:val="00D867DF"/>
    <w:rsid w:val="00D86BD7"/>
    <w:rsid w:val="00D87A55"/>
    <w:rsid w:val="00D90FD8"/>
    <w:rsid w:val="00D92D57"/>
    <w:rsid w:val="00D93775"/>
    <w:rsid w:val="00D9579D"/>
    <w:rsid w:val="00D959A1"/>
    <w:rsid w:val="00D96A3E"/>
    <w:rsid w:val="00D9706A"/>
    <w:rsid w:val="00D97577"/>
    <w:rsid w:val="00D97D7A"/>
    <w:rsid w:val="00DA03AA"/>
    <w:rsid w:val="00DA12AF"/>
    <w:rsid w:val="00DA1FFC"/>
    <w:rsid w:val="00DA4C7D"/>
    <w:rsid w:val="00DB092D"/>
    <w:rsid w:val="00DB12B0"/>
    <w:rsid w:val="00DB25D7"/>
    <w:rsid w:val="00DB2DDB"/>
    <w:rsid w:val="00DB3080"/>
    <w:rsid w:val="00DB4BD6"/>
    <w:rsid w:val="00DB4CF6"/>
    <w:rsid w:val="00DB70FB"/>
    <w:rsid w:val="00DC048A"/>
    <w:rsid w:val="00DC15E8"/>
    <w:rsid w:val="00DC4156"/>
    <w:rsid w:val="00DC51A2"/>
    <w:rsid w:val="00DC5B39"/>
    <w:rsid w:val="00DC6552"/>
    <w:rsid w:val="00DC65D0"/>
    <w:rsid w:val="00DC7456"/>
    <w:rsid w:val="00DC75CB"/>
    <w:rsid w:val="00DD03F3"/>
    <w:rsid w:val="00DD1955"/>
    <w:rsid w:val="00DD1EBB"/>
    <w:rsid w:val="00DD2715"/>
    <w:rsid w:val="00DD29D3"/>
    <w:rsid w:val="00DD3DBC"/>
    <w:rsid w:val="00DD456A"/>
    <w:rsid w:val="00DE233F"/>
    <w:rsid w:val="00DE47E7"/>
    <w:rsid w:val="00DE4C39"/>
    <w:rsid w:val="00DE5781"/>
    <w:rsid w:val="00DE70DC"/>
    <w:rsid w:val="00DF0D45"/>
    <w:rsid w:val="00DF1586"/>
    <w:rsid w:val="00DF1C22"/>
    <w:rsid w:val="00DF2939"/>
    <w:rsid w:val="00DF2E63"/>
    <w:rsid w:val="00DF5E4C"/>
    <w:rsid w:val="00DF72F6"/>
    <w:rsid w:val="00E01AD5"/>
    <w:rsid w:val="00E01AE9"/>
    <w:rsid w:val="00E027D2"/>
    <w:rsid w:val="00E03945"/>
    <w:rsid w:val="00E047A6"/>
    <w:rsid w:val="00E04C02"/>
    <w:rsid w:val="00E10EB5"/>
    <w:rsid w:val="00E11298"/>
    <w:rsid w:val="00E12D22"/>
    <w:rsid w:val="00E151DF"/>
    <w:rsid w:val="00E201DE"/>
    <w:rsid w:val="00E20A3F"/>
    <w:rsid w:val="00E23384"/>
    <w:rsid w:val="00E239CE"/>
    <w:rsid w:val="00E26698"/>
    <w:rsid w:val="00E269E6"/>
    <w:rsid w:val="00E27C71"/>
    <w:rsid w:val="00E320CC"/>
    <w:rsid w:val="00E32AEE"/>
    <w:rsid w:val="00E334B3"/>
    <w:rsid w:val="00E349E2"/>
    <w:rsid w:val="00E35213"/>
    <w:rsid w:val="00E35425"/>
    <w:rsid w:val="00E3647C"/>
    <w:rsid w:val="00E37540"/>
    <w:rsid w:val="00E37570"/>
    <w:rsid w:val="00E4037D"/>
    <w:rsid w:val="00E40566"/>
    <w:rsid w:val="00E40724"/>
    <w:rsid w:val="00E414DC"/>
    <w:rsid w:val="00E439EB"/>
    <w:rsid w:val="00E44E8E"/>
    <w:rsid w:val="00E45B73"/>
    <w:rsid w:val="00E45DCB"/>
    <w:rsid w:val="00E46341"/>
    <w:rsid w:val="00E50268"/>
    <w:rsid w:val="00E50896"/>
    <w:rsid w:val="00E51175"/>
    <w:rsid w:val="00E51E1E"/>
    <w:rsid w:val="00E533E9"/>
    <w:rsid w:val="00E55C9C"/>
    <w:rsid w:val="00E57FD4"/>
    <w:rsid w:val="00E62B88"/>
    <w:rsid w:val="00E63E6E"/>
    <w:rsid w:val="00E63F52"/>
    <w:rsid w:val="00E67CDA"/>
    <w:rsid w:val="00E71E49"/>
    <w:rsid w:val="00E73B10"/>
    <w:rsid w:val="00E7415C"/>
    <w:rsid w:val="00E76539"/>
    <w:rsid w:val="00E76576"/>
    <w:rsid w:val="00E765E2"/>
    <w:rsid w:val="00E77947"/>
    <w:rsid w:val="00E77CBA"/>
    <w:rsid w:val="00E80ADC"/>
    <w:rsid w:val="00E839B7"/>
    <w:rsid w:val="00E83AB5"/>
    <w:rsid w:val="00E84E1F"/>
    <w:rsid w:val="00E85576"/>
    <w:rsid w:val="00E87F4E"/>
    <w:rsid w:val="00E90D08"/>
    <w:rsid w:val="00E919CC"/>
    <w:rsid w:val="00E92CB1"/>
    <w:rsid w:val="00E9491D"/>
    <w:rsid w:val="00EA1FFD"/>
    <w:rsid w:val="00EA24D3"/>
    <w:rsid w:val="00EA3308"/>
    <w:rsid w:val="00EA681B"/>
    <w:rsid w:val="00EB2CC9"/>
    <w:rsid w:val="00EB3DE5"/>
    <w:rsid w:val="00EB4718"/>
    <w:rsid w:val="00EB50C9"/>
    <w:rsid w:val="00EC01CF"/>
    <w:rsid w:val="00EC0490"/>
    <w:rsid w:val="00EC1083"/>
    <w:rsid w:val="00EC535F"/>
    <w:rsid w:val="00EC590C"/>
    <w:rsid w:val="00EC6397"/>
    <w:rsid w:val="00EC6E0C"/>
    <w:rsid w:val="00ED0E67"/>
    <w:rsid w:val="00ED2650"/>
    <w:rsid w:val="00ED3C90"/>
    <w:rsid w:val="00ED4508"/>
    <w:rsid w:val="00ED5A49"/>
    <w:rsid w:val="00ED7117"/>
    <w:rsid w:val="00EE0BAB"/>
    <w:rsid w:val="00EE19B7"/>
    <w:rsid w:val="00EE2A19"/>
    <w:rsid w:val="00EE4E24"/>
    <w:rsid w:val="00EE5C00"/>
    <w:rsid w:val="00EE7BCE"/>
    <w:rsid w:val="00EF3910"/>
    <w:rsid w:val="00EF6444"/>
    <w:rsid w:val="00F00919"/>
    <w:rsid w:val="00F00C66"/>
    <w:rsid w:val="00F01BDA"/>
    <w:rsid w:val="00F01EC2"/>
    <w:rsid w:val="00F03ADE"/>
    <w:rsid w:val="00F04F68"/>
    <w:rsid w:val="00F06473"/>
    <w:rsid w:val="00F10263"/>
    <w:rsid w:val="00F1085A"/>
    <w:rsid w:val="00F13134"/>
    <w:rsid w:val="00F202FE"/>
    <w:rsid w:val="00F206C4"/>
    <w:rsid w:val="00F21C9A"/>
    <w:rsid w:val="00F22640"/>
    <w:rsid w:val="00F23291"/>
    <w:rsid w:val="00F23B92"/>
    <w:rsid w:val="00F23D5F"/>
    <w:rsid w:val="00F25628"/>
    <w:rsid w:val="00F263C9"/>
    <w:rsid w:val="00F26647"/>
    <w:rsid w:val="00F276A2"/>
    <w:rsid w:val="00F3053C"/>
    <w:rsid w:val="00F318BE"/>
    <w:rsid w:val="00F31C79"/>
    <w:rsid w:val="00F31CA5"/>
    <w:rsid w:val="00F33459"/>
    <w:rsid w:val="00F33C12"/>
    <w:rsid w:val="00F34C8E"/>
    <w:rsid w:val="00F35FB0"/>
    <w:rsid w:val="00F4050F"/>
    <w:rsid w:val="00F40CAD"/>
    <w:rsid w:val="00F4213B"/>
    <w:rsid w:val="00F4261B"/>
    <w:rsid w:val="00F45460"/>
    <w:rsid w:val="00F474C7"/>
    <w:rsid w:val="00F51FB3"/>
    <w:rsid w:val="00F52D98"/>
    <w:rsid w:val="00F53058"/>
    <w:rsid w:val="00F5343F"/>
    <w:rsid w:val="00F56D21"/>
    <w:rsid w:val="00F60402"/>
    <w:rsid w:val="00F62F30"/>
    <w:rsid w:val="00F652B5"/>
    <w:rsid w:val="00F667A4"/>
    <w:rsid w:val="00F67F38"/>
    <w:rsid w:val="00F70134"/>
    <w:rsid w:val="00F719BB"/>
    <w:rsid w:val="00F73360"/>
    <w:rsid w:val="00F7426A"/>
    <w:rsid w:val="00F803CB"/>
    <w:rsid w:val="00F81F16"/>
    <w:rsid w:val="00F82105"/>
    <w:rsid w:val="00F82F3A"/>
    <w:rsid w:val="00F84929"/>
    <w:rsid w:val="00F85425"/>
    <w:rsid w:val="00F867CF"/>
    <w:rsid w:val="00F86F52"/>
    <w:rsid w:val="00F9090A"/>
    <w:rsid w:val="00F937F4"/>
    <w:rsid w:val="00F958BC"/>
    <w:rsid w:val="00F95B71"/>
    <w:rsid w:val="00F96887"/>
    <w:rsid w:val="00F968A0"/>
    <w:rsid w:val="00FA08EA"/>
    <w:rsid w:val="00FA19B8"/>
    <w:rsid w:val="00FA2766"/>
    <w:rsid w:val="00FA3051"/>
    <w:rsid w:val="00FA32F9"/>
    <w:rsid w:val="00FA40A7"/>
    <w:rsid w:val="00FA530C"/>
    <w:rsid w:val="00FA6AEE"/>
    <w:rsid w:val="00FB083B"/>
    <w:rsid w:val="00FB3B12"/>
    <w:rsid w:val="00FB57CB"/>
    <w:rsid w:val="00FB60F7"/>
    <w:rsid w:val="00FB799E"/>
    <w:rsid w:val="00FC0D41"/>
    <w:rsid w:val="00FC2128"/>
    <w:rsid w:val="00FC21E7"/>
    <w:rsid w:val="00FC2673"/>
    <w:rsid w:val="00FC3FA8"/>
    <w:rsid w:val="00FC4182"/>
    <w:rsid w:val="00FC539A"/>
    <w:rsid w:val="00FC5D75"/>
    <w:rsid w:val="00FC5EF8"/>
    <w:rsid w:val="00FD00C4"/>
    <w:rsid w:val="00FD0C50"/>
    <w:rsid w:val="00FD1D17"/>
    <w:rsid w:val="00FD293E"/>
    <w:rsid w:val="00FD4731"/>
    <w:rsid w:val="00FE0314"/>
    <w:rsid w:val="00FE241F"/>
    <w:rsid w:val="00FE25F4"/>
    <w:rsid w:val="00FE26DB"/>
    <w:rsid w:val="00FE3A61"/>
    <w:rsid w:val="00FE465E"/>
    <w:rsid w:val="00FF07D3"/>
    <w:rsid w:val="00FF124B"/>
    <w:rsid w:val="00FF1C7F"/>
    <w:rsid w:val="00FF1C92"/>
    <w:rsid w:val="00FF2F76"/>
    <w:rsid w:val="00FF4A02"/>
    <w:rsid w:val="00FF4BAE"/>
    <w:rsid w:val="00FF4B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5C029"/>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bidi/>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val="en-GB"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val="en-GB"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autoSpaceDE/>
      <w:autoSpaceDN/>
      <w:bidi/>
      <w:adjustRightInd/>
      <w:spacing w:before="120" w:line="360" w:lineRule="auto"/>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autoSpaceDE/>
      <w:autoSpaceDN/>
      <w:bidi/>
      <w:adjustRightInd/>
      <w:spacing w:before="120" w:line="360" w:lineRule="auto"/>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autoSpaceDE/>
      <w:autoSpaceDN/>
      <w:bidi/>
      <w:adjustRightInd/>
      <w:spacing w:before="120" w:line="360" w:lineRule="auto"/>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styleId="UnresolvedMention">
    <w:name w:val="Unresolved Mention"/>
    <w:basedOn w:val="DefaultParagraphFont"/>
    <w:uiPriority w:val="99"/>
    <w:semiHidden/>
    <w:unhideWhenUsed/>
    <w:rsid w:val="00427930"/>
    <w:rPr>
      <w:color w:val="605E5C"/>
      <w:shd w:val="clear" w:color="auto" w:fill="E1DFDD"/>
    </w:rPr>
  </w:style>
  <w:style w:type="paragraph" w:styleId="FootnoteText">
    <w:name w:val="footnote text"/>
    <w:aliases w:val="טקסט הערות שוליים111,טקסט הערות שוליים11111,תו תו2111,טקסט הערות שוליים21111,טקסט הערות שוליים1,טקסט הערות שוליים2 תו,טקסט הערות שוליים2 תו תו,טקסט הערות שוליים2,תו תו,תו תו1,תו תו11,תו2,תו תו111,Heading 2 Char2,s Char2,תו Char,Char,תו"/>
    <w:basedOn w:val="Normal"/>
    <w:link w:val="FootnoteTextChar"/>
    <w:unhideWhenUsed/>
    <w:rsid w:val="00A65CB2"/>
    <w:pPr>
      <w:widowControl/>
      <w:autoSpaceDE/>
      <w:autoSpaceDN/>
      <w:adjustRightInd/>
    </w:pPr>
  </w:style>
  <w:style w:type="character" w:customStyle="1" w:styleId="FootnoteTextChar">
    <w:name w:val="Footnote Text Char"/>
    <w:aliases w:val="טקסט הערות שוליים111 Char,טקסט הערות שוליים11111 Char,תו תו2111 Char,טקסט הערות שוליים21111 Char,טקסט הערות שוליים1 Char,טקסט הערות שוליים2 תו Char,טקסט הערות שוליים2 תו תו Char,טקסט הערות שוליים2 Char,תו תו Char,תו תו1 Char,תו2 Char"/>
    <w:basedOn w:val="DefaultParagraphFont"/>
    <w:link w:val="FootnoteText"/>
    <w:rsid w:val="00A65CB2"/>
    <w:rPr>
      <w:rFonts w:ascii="Times New Roman" w:eastAsia="Times New Roman" w:hAnsi="Times New Roman" w:cs="Times New Roman"/>
      <w:sz w:val="20"/>
      <w:szCs w:val="20"/>
      <w:lang w:bidi="he-IL"/>
    </w:rPr>
  </w:style>
  <w:style w:type="character" w:customStyle="1" w:styleId="f">
    <w:name w:val="f"/>
    <w:basedOn w:val="DefaultParagraphFont"/>
    <w:rsid w:val="00234F44"/>
  </w:style>
  <w:style w:type="character" w:styleId="Emphasis">
    <w:name w:val="Emphasis"/>
    <w:basedOn w:val="DefaultParagraphFont"/>
    <w:uiPriority w:val="20"/>
    <w:qFormat/>
    <w:rsid w:val="00234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 w:id="211651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axia.c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irav@bauerg.com" TargetMode="External"/><Relationship Id="rId4" Type="http://schemas.openxmlformats.org/officeDocument/2006/relationships/settings" Target="settings.xml"/><Relationship Id="rId9" Type="http://schemas.openxmlformats.org/officeDocument/2006/relationships/hyperlink" Target="mailto:gali@ibh.co.i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D32.6A956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7D04-1CC9-4AE1-A143-B0555AA1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8321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Gali Dahan</cp:lastModifiedBy>
  <cp:revision>2</cp:revision>
  <cp:lastPrinted>2019-12-08T07:17:00Z</cp:lastPrinted>
  <dcterms:created xsi:type="dcterms:W3CDTF">2019-12-16T07:50:00Z</dcterms:created>
  <dcterms:modified xsi:type="dcterms:W3CDTF">2019-12-16T07:50:00Z</dcterms:modified>
</cp:coreProperties>
</file>