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4B473" w14:textId="669631C0" w:rsidR="00A91A44" w:rsidRPr="00D24E02" w:rsidRDefault="00A91A44" w:rsidP="00A91A44">
      <w:pPr>
        <w:pStyle w:val="Heading2"/>
        <w:bidi w:val="0"/>
        <w:rPr>
          <w:sz w:val="32"/>
          <w:szCs w:val="32"/>
        </w:rPr>
      </w:pPr>
      <w:bookmarkStart w:id="0" w:name="_GoBack"/>
      <w:bookmarkEnd w:id="0"/>
      <w:proofErr w:type="spellStart"/>
      <w:r w:rsidRPr="00D24E02">
        <w:rPr>
          <w:sz w:val="32"/>
          <w:szCs w:val="32"/>
        </w:rPr>
        <w:t>Panaxia</w:t>
      </w:r>
      <w:proofErr w:type="spellEnd"/>
      <w:r w:rsidRPr="00D24E02">
        <w:rPr>
          <w:sz w:val="32"/>
          <w:szCs w:val="32"/>
        </w:rPr>
        <w:t xml:space="preserve"> is preparing for European sales:</w:t>
      </w:r>
    </w:p>
    <w:p w14:paraId="603B8AA0" w14:textId="6CE6CD66" w:rsidR="00A91A44" w:rsidRDefault="00A91A44" w:rsidP="0029340F">
      <w:pPr>
        <w:pStyle w:val="Heading1"/>
        <w:bidi w:val="0"/>
      </w:pPr>
      <w:r>
        <w:t>Announces an agreement for temporary use right</w:t>
      </w:r>
      <w:r w:rsidR="0029340F">
        <w:t>s</w:t>
      </w:r>
      <w:r>
        <w:t xml:space="preserve"> in an R&amp;D facility in Malta for the commercial production and marketing of its European cannabis products in Europe</w:t>
      </w:r>
    </w:p>
    <w:p w14:paraId="68A2951B" w14:textId="77777777" w:rsidR="00A91A44" w:rsidRPr="008D5421" w:rsidRDefault="00A91A44" w:rsidP="00A91A44">
      <w:pPr>
        <w:bidi w:val="0"/>
      </w:pPr>
    </w:p>
    <w:p w14:paraId="403F29B7" w14:textId="01525D7D" w:rsidR="00A91A44" w:rsidRDefault="00A91A44" w:rsidP="0029340F">
      <w:pPr>
        <w:pStyle w:val="Heading3"/>
        <w:bidi w:val="0"/>
        <w:rPr>
          <w:rtl/>
        </w:rPr>
      </w:pPr>
      <w:r>
        <w:t xml:space="preserve">Dr. Dadi Segal, </w:t>
      </w:r>
      <w:proofErr w:type="spellStart"/>
      <w:r>
        <w:t>Panaxia</w:t>
      </w:r>
      <w:proofErr w:type="spellEnd"/>
      <w:r>
        <w:t xml:space="preserve"> CEO: “Using the Malta facility is a significant </w:t>
      </w:r>
      <w:proofErr w:type="gramStart"/>
      <w:r>
        <w:t>stepping stone</w:t>
      </w:r>
      <w:proofErr w:type="gramEnd"/>
      <w:r>
        <w:t xml:space="preserve"> as we enter the European market. We believe this makes </w:t>
      </w:r>
      <w:proofErr w:type="spellStart"/>
      <w:r>
        <w:t>Panaxia</w:t>
      </w:r>
      <w:proofErr w:type="spellEnd"/>
      <w:r>
        <w:t xml:space="preserve"> the first company in Israel in the field of medicinal cannabis to begin selling in the EU. We are in progressive stages of registering and certifying our advanced products </w:t>
      </w:r>
      <w:r>
        <w:rPr>
          <w:rFonts w:hint="cs"/>
        </w:rPr>
        <w:t>–</w:t>
      </w:r>
      <w:r>
        <w:t xml:space="preserve"> </w:t>
      </w:r>
      <w:r w:rsidR="0029340F">
        <w:t xml:space="preserve">starting </w:t>
      </w:r>
      <w:r>
        <w:t xml:space="preserve">in Germany and Denmark and other countries to follow. We </w:t>
      </w:r>
      <w:r w:rsidR="009E5EB0">
        <w:t>aim</w:t>
      </w:r>
      <w:r>
        <w:t xml:space="preserve"> forward to realize </w:t>
      </w:r>
      <w:proofErr w:type="spellStart"/>
      <w:r>
        <w:t>Panaxia’s</w:t>
      </w:r>
      <w:proofErr w:type="spellEnd"/>
      <w:r>
        <w:t xml:space="preserve"> vision to bring our patients in Israel as well </w:t>
      </w:r>
      <w:r w:rsidR="0029340F">
        <w:t xml:space="preserve">as </w:t>
      </w:r>
      <w:r>
        <w:t>new patients in Europe a</w:t>
      </w:r>
      <w:r w:rsidR="0029340F">
        <w:t xml:space="preserve"> </w:t>
      </w:r>
      <w:r>
        <w:t xml:space="preserve">broad variety of advanced reproducible and safer medicinal cannabis products, meeting groundbreaking pharmaceutical standards not currently found in the market.” </w:t>
      </w:r>
    </w:p>
    <w:p w14:paraId="52302374" w14:textId="77777777" w:rsidR="00A91A44" w:rsidRDefault="00A91A44" w:rsidP="00A91A44">
      <w:pPr>
        <w:bidi w:val="0"/>
        <w:rPr>
          <w:b/>
          <w:bCs/>
        </w:rPr>
      </w:pPr>
    </w:p>
    <w:p w14:paraId="1BCCE80B" w14:textId="2D7BE366" w:rsidR="00A91A44" w:rsidRPr="00C03776" w:rsidRDefault="00A91A44" w:rsidP="00A91A44">
      <w:pPr>
        <w:bidi w:val="0"/>
      </w:pPr>
      <w:r w:rsidRPr="00ED3546">
        <w:rPr>
          <w:b/>
          <w:bCs/>
        </w:rPr>
        <w:t xml:space="preserve">(Tel-Aviv, March </w:t>
      </w:r>
      <w:r w:rsidR="00D24E02">
        <w:rPr>
          <w:b/>
          <w:bCs/>
        </w:rPr>
        <w:t>30</w:t>
      </w:r>
      <w:r w:rsidRPr="00ED3546">
        <w:rPr>
          <w:b/>
          <w:bCs/>
        </w:rPr>
        <w:t xml:space="preserve">, 2020) </w:t>
      </w:r>
      <w:r w:rsidRPr="00ED3546">
        <w:rPr>
          <w:rFonts w:hint="cs"/>
          <w:b/>
          <w:bCs/>
        </w:rPr>
        <w:t>–</w:t>
      </w:r>
      <w:r w:rsidRPr="00ED3546">
        <w:rPr>
          <w:b/>
          <w:bCs/>
        </w:rPr>
        <w:t xml:space="preserve"> </w:t>
      </w:r>
      <w:r w:rsidRPr="001C0783">
        <w:rPr>
          <w:b/>
          <w:bCs/>
        </w:rPr>
        <w:t xml:space="preserve">Pharmaceutical company </w:t>
      </w:r>
      <w:proofErr w:type="spellStart"/>
      <w:r w:rsidRPr="001C0783">
        <w:rPr>
          <w:b/>
          <w:bCs/>
        </w:rPr>
        <w:t>Panaxia</w:t>
      </w:r>
      <w:proofErr w:type="spellEnd"/>
      <w:r w:rsidRPr="001C0783">
        <w:rPr>
          <w:b/>
          <w:bCs/>
        </w:rPr>
        <w:t xml:space="preserve"> Labs Israel Ltd. (</w:t>
      </w:r>
      <w:proofErr w:type="spellStart"/>
      <w:r w:rsidRPr="001C0783">
        <w:rPr>
          <w:b/>
          <w:bCs/>
        </w:rPr>
        <w:t>Panaxia</w:t>
      </w:r>
      <w:proofErr w:type="spellEnd"/>
      <w:r w:rsidRPr="001C0783">
        <w:rPr>
          <w:b/>
          <w:bCs/>
        </w:rPr>
        <w:t xml:space="preserve"> Israel, TASE: PNAX),</w:t>
      </w:r>
      <w:r w:rsidRPr="00C24C63">
        <w:t xml:space="preserve"> the largest manufacturer of medical cannabis products in Israel, announced</w:t>
      </w:r>
      <w:r>
        <w:t xml:space="preserve"> today its contractual agreement with the </w:t>
      </w:r>
      <w:r w:rsidRPr="001C0783">
        <w:t>holder of controlling interest</w:t>
      </w:r>
      <w:r>
        <w:t xml:space="preserve">, </w:t>
      </w:r>
      <w:proofErr w:type="spellStart"/>
      <w:r>
        <w:t>Panaxia</w:t>
      </w:r>
      <w:proofErr w:type="spellEnd"/>
      <w:r>
        <w:t xml:space="preserve"> Pharmaceutical Industries, to use the research and development of the </w:t>
      </w:r>
      <w:r w:rsidRPr="001C0783">
        <w:t>holder of controlling interest</w:t>
      </w:r>
      <w:r>
        <w:t xml:space="preserve"> in Malta for the production and extraction the company’s advanced products (such as </w:t>
      </w:r>
      <w:r w:rsidRPr="00FC0404">
        <w:t>oils, inhalers</w:t>
      </w:r>
      <w:r>
        <w:t xml:space="preserve">, </w:t>
      </w:r>
      <w:r w:rsidRPr="00FC0404">
        <w:t>sublingual tablets</w:t>
      </w:r>
      <w:r>
        <w:t>, suppositories) designated for the European market.</w:t>
      </w:r>
    </w:p>
    <w:p w14:paraId="1EEEABBD" w14:textId="10715352" w:rsidR="00A91A44" w:rsidRDefault="00D24E02" w:rsidP="0029340F">
      <w:pPr>
        <w:bidi w:val="0"/>
      </w:pPr>
      <w:r w:rsidRPr="00D24E02">
        <w:t xml:space="preserve">The agreement allows </w:t>
      </w:r>
      <w:proofErr w:type="spellStart"/>
      <w:r w:rsidRPr="00D24E02">
        <w:t>Panaxia</w:t>
      </w:r>
      <w:proofErr w:type="spellEnd"/>
      <w:r w:rsidRPr="00D24E02">
        <w:t xml:space="preserve"> to use the Maltese R&amp;D facility and commence its European activity. The Maltese operations are expected to commence within a few months, subject to complete conversion of the facility into a commercial facility meeting the requirements of the EU-GMP standard and the receipt regulatory approvals from the Maltese government.</w:t>
      </w:r>
      <w:r w:rsidR="00A91A44">
        <w:t xml:space="preserve"> By that, to the best of the company’s knowledge, it shall become the first medicinal cannabis company in Israel to commercially manufacture and </w:t>
      </w:r>
      <w:r w:rsidR="0029340F">
        <w:t>sell</w:t>
      </w:r>
      <w:r w:rsidR="00A91A44">
        <w:t xml:space="preserve"> medical</w:t>
      </w:r>
      <w:r w:rsidR="00A91A44" w:rsidRPr="0081435F">
        <w:t xml:space="preserve"> </w:t>
      </w:r>
      <w:r w:rsidR="00A91A44">
        <w:t>cannabis products in EU countries.</w:t>
      </w:r>
    </w:p>
    <w:p w14:paraId="7C4C763E" w14:textId="4D3FB42D" w:rsidR="00D24E02" w:rsidRPr="00D24E02" w:rsidRDefault="00D24E02" w:rsidP="00D24E02">
      <w:pPr>
        <w:bidi w:val="0"/>
      </w:pPr>
      <w:r w:rsidRPr="00D24E02">
        <w:t xml:space="preserve">The Maltese facility to be operated by </w:t>
      </w:r>
      <w:proofErr w:type="spellStart"/>
      <w:r w:rsidRPr="00D24E02">
        <w:t>Panaxia</w:t>
      </w:r>
      <w:proofErr w:type="spellEnd"/>
      <w:r w:rsidRPr="00D24E02">
        <w:t xml:space="preserve"> is ready to extract cannabis inflorescence. It has the capacity of producing several hundred thousand products annually, which will join the ensemble of products already manufactured in Israel. </w:t>
      </w:r>
    </w:p>
    <w:p w14:paraId="33D11309" w14:textId="736C4B07" w:rsidR="00A91A44" w:rsidRDefault="00A91A44" w:rsidP="00A91A44">
      <w:pPr>
        <w:bidi w:val="0"/>
      </w:pPr>
      <w:r>
        <w:t xml:space="preserve">At first, the company is expected to begin its operations in the German and Maltese markets. The company has announced that is in the process of registering its products in additional European countries, which, once complete, will allow it to manufacture its products in the Maltese facility and market them in additional countries. </w:t>
      </w:r>
    </w:p>
    <w:p w14:paraId="43286D2D" w14:textId="77777777" w:rsidR="00D24E02" w:rsidRDefault="00D24E02" w:rsidP="00D24E02">
      <w:pPr>
        <w:pStyle w:val="Heading3"/>
        <w:bidi w:val="0"/>
      </w:pPr>
    </w:p>
    <w:p w14:paraId="01A345AD" w14:textId="776FA09B" w:rsidR="00A91A44" w:rsidRPr="00414913" w:rsidRDefault="00A91A44" w:rsidP="00414913">
      <w:pPr>
        <w:pStyle w:val="Heading3"/>
        <w:bidi w:val="0"/>
      </w:pPr>
      <w:r>
        <w:t xml:space="preserve">Dr. Dadi Segal, </w:t>
      </w:r>
      <w:proofErr w:type="spellStart"/>
      <w:r>
        <w:t>Panaxia</w:t>
      </w:r>
      <w:proofErr w:type="spellEnd"/>
      <w:r>
        <w:t xml:space="preserve"> CEO,</w:t>
      </w:r>
      <w:r w:rsidRPr="006F1BA6">
        <w:t xml:space="preserve"> </w:t>
      </w:r>
      <w:r>
        <w:t xml:space="preserve">stated: “Using the Malta </w:t>
      </w:r>
      <w:r w:rsidR="00E9057A">
        <w:t xml:space="preserve">manufacturing </w:t>
      </w:r>
      <w:r>
        <w:t xml:space="preserve">facility is a significant </w:t>
      </w:r>
      <w:proofErr w:type="gramStart"/>
      <w:r>
        <w:t>stepping stone</w:t>
      </w:r>
      <w:proofErr w:type="gramEnd"/>
      <w:r>
        <w:t xml:space="preserve"> as we enter the European market. We believe this makes </w:t>
      </w:r>
      <w:proofErr w:type="spellStart"/>
      <w:r>
        <w:t>Panaxia</w:t>
      </w:r>
      <w:proofErr w:type="spellEnd"/>
      <w:r>
        <w:t xml:space="preserve"> the first company in Israel in the field of medicinal cannabis to begin selling in the EU. We are in progressive stages of registering and certifying our advanced products and contracting distribution and marketing agreements </w:t>
      </w:r>
      <w:r>
        <w:rPr>
          <w:rFonts w:hint="cs"/>
        </w:rPr>
        <w:t>–</w:t>
      </w:r>
      <w:r>
        <w:t xml:space="preserve"> first in Germany and Denmark and then in other countries.</w:t>
      </w:r>
      <w:r w:rsidR="00E9057A">
        <w:t xml:space="preserve"> In line with our strategic plans, </w:t>
      </w:r>
      <w:r w:rsidR="009E5EB0">
        <w:t xml:space="preserve">in recent months </w:t>
      </w:r>
      <w:r w:rsidR="00E9057A">
        <w:t xml:space="preserve">we have emphasized massive preparation work </w:t>
      </w:r>
      <w:r w:rsidR="009E5EB0">
        <w:t>geared towards</w:t>
      </w:r>
      <w:r w:rsidR="00E9057A">
        <w:t xml:space="preserve"> our European expansion. </w:t>
      </w:r>
      <w:r w:rsidR="009E5EB0">
        <w:t xml:space="preserve">Starting our manufacturing and marketing activities through the Maltese facility allows us to shorten our time to market with high quality products that meet the most rigorous standards, developed based on the international R&amp;D capabilities of </w:t>
      </w:r>
      <w:proofErr w:type="spellStart"/>
      <w:r w:rsidR="009E5EB0">
        <w:t>Panaxia</w:t>
      </w:r>
      <w:proofErr w:type="spellEnd"/>
      <w:r w:rsidR="009E5EB0">
        <w:t>.</w:t>
      </w:r>
      <w:r>
        <w:t xml:space="preserve"> We </w:t>
      </w:r>
      <w:r w:rsidR="009E5EB0">
        <w:t>aim</w:t>
      </w:r>
      <w:r>
        <w:t xml:space="preserve"> forward to realize </w:t>
      </w:r>
      <w:proofErr w:type="spellStart"/>
      <w:r>
        <w:t>Panaxia’s</w:t>
      </w:r>
      <w:proofErr w:type="spellEnd"/>
      <w:r>
        <w:t xml:space="preserve"> vision to bring our patients in Israel as well new patients in Europe abroad variety of advanced reproducible and safer medicinal cannabis products, meeting groundbreaking pharmaceutical standards not currently found in the market.” </w:t>
      </w:r>
    </w:p>
    <w:p w14:paraId="69D34A4E" w14:textId="77777777" w:rsidR="00414913" w:rsidRPr="001B6A4D" w:rsidRDefault="00414913" w:rsidP="00414913">
      <w:pPr>
        <w:pStyle w:val="NormalWeb"/>
        <w:spacing w:after="0" w:afterAutospacing="0"/>
        <w:rPr>
          <w:rStyle w:val="Strong"/>
          <w:rFonts w:asciiTheme="minorHAnsi" w:hAnsiTheme="minorHAnsi" w:cstheme="minorHAnsi"/>
          <w:color w:val="0E101A"/>
          <w:sz w:val="22"/>
          <w:szCs w:val="22"/>
        </w:rPr>
      </w:pPr>
      <w:r w:rsidRPr="001B6A4D">
        <w:rPr>
          <w:rStyle w:val="Strong"/>
          <w:rFonts w:asciiTheme="minorHAnsi" w:hAnsiTheme="minorHAnsi" w:cstheme="minorHAnsi"/>
          <w:color w:val="0E101A"/>
          <w:sz w:val="22"/>
          <w:szCs w:val="22"/>
        </w:rPr>
        <w:t xml:space="preserve">About </w:t>
      </w:r>
      <w:proofErr w:type="spellStart"/>
      <w:r w:rsidRPr="001B6A4D">
        <w:rPr>
          <w:rStyle w:val="Strong"/>
          <w:rFonts w:asciiTheme="minorHAnsi" w:hAnsiTheme="minorHAnsi" w:cstheme="minorHAnsi"/>
          <w:color w:val="0E101A"/>
          <w:sz w:val="22"/>
          <w:szCs w:val="22"/>
        </w:rPr>
        <w:t>Panaxia</w:t>
      </w:r>
      <w:proofErr w:type="spellEnd"/>
      <w:r w:rsidRPr="001B6A4D">
        <w:rPr>
          <w:rStyle w:val="Strong"/>
          <w:rFonts w:asciiTheme="minorHAnsi" w:hAnsiTheme="minorHAnsi" w:cstheme="minorHAnsi"/>
          <w:color w:val="0E101A"/>
          <w:sz w:val="22"/>
          <w:szCs w:val="22"/>
        </w:rPr>
        <w:t xml:space="preserve"> Israel </w:t>
      </w:r>
    </w:p>
    <w:p w14:paraId="69D67A69" w14:textId="77777777" w:rsidR="00414913" w:rsidRPr="00414913" w:rsidRDefault="00414913" w:rsidP="00414913">
      <w:pPr>
        <w:bidi w:val="0"/>
      </w:pPr>
      <w:proofErr w:type="spellStart"/>
      <w:r w:rsidRPr="00414913">
        <w:t>Panaxia</w:t>
      </w:r>
      <w:proofErr w:type="spellEnd"/>
      <w:r w:rsidRPr="00414913">
        <w:t xml:space="preserve"> Labs Israel, Ltd. is a </w:t>
      </w:r>
      <w:proofErr w:type="spellStart"/>
      <w:r w:rsidRPr="00414913">
        <w:t>publically</w:t>
      </w:r>
      <w:proofErr w:type="spellEnd"/>
      <w:r w:rsidRPr="00414913">
        <w:t xml:space="preserve"> traded company at TASE (PNAX). It is the largest Israeli manufacturer and home-delivery distributor of medical cannabis products, and the first to have received the approval of the Israeli Ministry of Health for the manufacturing of medicinal </w:t>
      </w:r>
      <w:proofErr w:type="gramStart"/>
      <w:r w:rsidRPr="00414913">
        <w:t>cannabis based</w:t>
      </w:r>
      <w:proofErr w:type="gramEnd"/>
      <w:r w:rsidRPr="00414913">
        <w:t xml:space="preserve"> pharmaceuticals (under the IMC-GMP directive). The company manufactures over 30 hemp-based medicinal products and has accumulated a broad foundation of clinical experience based on tens of thousands of patients. </w:t>
      </w:r>
    </w:p>
    <w:p w14:paraId="6422F372" w14:textId="77777777" w:rsidR="00414913" w:rsidRPr="00414913" w:rsidRDefault="00414913" w:rsidP="00414913">
      <w:pPr>
        <w:bidi w:val="0"/>
      </w:pPr>
      <w:proofErr w:type="spellStart"/>
      <w:r w:rsidRPr="00414913">
        <w:t>Panaxia</w:t>
      </w:r>
      <w:proofErr w:type="spellEnd"/>
      <w:r w:rsidRPr="00414913">
        <w:t xml:space="preserve"> is part of the Segal Pharma Group, owned by the Segal family and founded over forty years ago. The company manufactures over 600 different pharmaceutical products that are distributed in over 40 countries worldwide. </w:t>
      </w:r>
      <w:proofErr w:type="spellStart"/>
      <w:r w:rsidRPr="00414913">
        <w:t>Panaxia</w:t>
      </w:r>
      <w:proofErr w:type="spellEnd"/>
      <w:r w:rsidRPr="00414913">
        <w:t xml:space="preserve"> Labs Israel is a subsidiary of </w:t>
      </w:r>
      <w:proofErr w:type="spellStart"/>
      <w:r w:rsidRPr="00414913">
        <w:t>Panaxia</w:t>
      </w:r>
      <w:proofErr w:type="spellEnd"/>
      <w:r w:rsidRPr="00414913">
        <w:t xml:space="preserve"> Pharmaceutical Industries, co-founded by Dr. Dadi Segal, Dr. Eran Goldberg, and Assi Rotbart, Adv. as the cannabis division of the Segal Pharma Group. A sister subsidiary, </w:t>
      </w:r>
      <w:proofErr w:type="spellStart"/>
      <w:r w:rsidRPr="00414913">
        <w:t>Panaxia</w:t>
      </w:r>
      <w:proofErr w:type="spellEnd"/>
      <w:r w:rsidRPr="00414913">
        <w:t xml:space="preserve"> US, manufactures in North America over 60 hemp-based medicinal products, including sublingual tablets, lozenges, oils, and inhalators aimed for the treatment of conditions such as PTSD, cancer, chronic pain, epilepsy, anorexia, burns, and many other ailments. </w:t>
      </w:r>
      <w:proofErr w:type="spellStart"/>
      <w:r w:rsidRPr="00414913">
        <w:t>Panaxia</w:t>
      </w:r>
      <w:proofErr w:type="spellEnd"/>
      <w:r w:rsidRPr="00414913">
        <w:t xml:space="preserve"> Group has over 150 employees, and all clinical trials are conducted by its members.</w:t>
      </w:r>
    </w:p>
    <w:p w14:paraId="2BE24C6F" w14:textId="77777777" w:rsidR="00414913" w:rsidRPr="00414913" w:rsidRDefault="00414913" w:rsidP="00414913">
      <w:pPr>
        <w:bidi w:val="0"/>
      </w:pPr>
      <w:r w:rsidRPr="00414913">
        <w:t xml:space="preserve">The Segal Pharma Group additionally owns </w:t>
      </w:r>
      <w:proofErr w:type="spellStart"/>
      <w:r w:rsidRPr="00414913">
        <w:t>Luminera</w:t>
      </w:r>
      <w:proofErr w:type="spellEnd"/>
      <w:r w:rsidRPr="00414913">
        <w:t xml:space="preserve"> </w:t>
      </w:r>
      <w:proofErr w:type="spellStart"/>
      <w:r w:rsidRPr="00414913">
        <w:t>Derm</w:t>
      </w:r>
      <w:proofErr w:type="spellEnd"/>
      <w:r w:rsidRPr="00414913">
        <w:t xml:space="preserve">, manufacturer of injectable dermal fillers, and Tree of Life Pharma, manufacturer of over-the-counter drugs. For more information, visit the </w:t>
      </w:r>
      <w:proofErr w:type="spellStart"/>
      <w:r w:rsidRPr="00414913">
        <w:t>Panaxia</w:t>
      </w:r>
      <w:proofErr w:type="spellEnd"/>
      <w:r w:rsidRPr="00414913">
        <w:t xml:space="preserve"> website at: </w:t>
      </w:r>
      <w:hyperlink r:id="rId8" w:history="1">
        <w:r w:rsidRPr="00414913">
          <w:t>https://panaxia.co.il/</w:t>
        </w:r>
      </w:hyperlink>
    </w:p>
    <w:p w14:paraId="239B0702" w14:textId="12290329" w:rsidR="00414913" w:rsidRDefault="00414913" w:rsidP="00414913">
      <w:pPr>
        <w:bidi w:val="0"/>
      </w:pPr>
    </w:p>
    <w:p w14:paraId="4A6B09AB" w14:textId="77777777" w:rsidR="003D24D4" w:rsidRPr="00414913" w:rsidRDefault="003D24D4" w:rsidP="003D24D4">
      <w:pPr>
        <w:bidi w:val="0"/>
      </w:pPr>
    </w:p>
    <w:p w14:paraId="379BC49B" w14:textId="77777777" w:rsidR="00A91A44" w:rsidRPr="00414913" w:rsidRDefault="00A91A44" w:rsidP="00414913">
      <w:pPr>
        <w:bidi w:val="0"/>
      </w:pPr>
    </w:p>
    <w:p w14:paraId="6DD23C28" w14:textId="77777777" w:rsidR="00A91A44" w:rsidRPr="006D5B69" w:rsidRDefault="00A91A44" w:rsidP="00414913">
      <w:pPr>
        <w:bidi w:val="0"/>
        <w:rPr>
          <w:rtl/>
        </w:rPr>
      </w:pPr>
    </w:p>
    <w:p w14:paraId="3496E76B" w14:textId="7D9F3F70" w:rsidR="002C669D" w:rsidRPr="00A91A44" w:rsidRDefault="002C669D" w:rsidP="00414913">
      <w:pPr>
        <w:bidi w:val="0"/>
        <w:rPr>
          <w:rtl/>
        </w:rPr>
      </w:pPr>
    </w:p>
    <w:sectPr w:rsidR="002C669D" w:rsidRPr="00A91A44" w:rsidSect="008D7FDB">
      <w:headerReference w:type="default" r:id="rId9"/>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0F53A" w14:textId="77777777" w:rsidR="00EA0061" w:rsidRDefault="00EA0061" w:rsidP="004F755E">
      <w:pPr>
        <w:spacing w:after="0" w:line="240" w:lineRule="auto"/>
      </w:pPr>
      <w:r>
        <w:separator/>
      </w:r>
    </w:p>
  </w:endnote>
  <w:endnote w:type="continuationSeparator" w:id="0">
    <w:p w14:paraId="04837676" w14:textId="77777777" w:rsidR="00EA0061" w:rsidRDefault="00EA0061" w:rsidP="004F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AEF23" w14:textId="77777777" w:rsidR="00EA0061" w:rsidRDefault="00EA0061" w:rsidP="004F755E">
      <w:pPr>
        <w:spacing w:after="0" w:line="240" w:lineRule="auto"/>
      </w:pPr>
      <w:r>
        <w:separator/>
      </w:r>
    </w:p>
  </w:footnote>
  <w:footnote w:type="continuationSeparator" w:id="0">
    <w:p w14:paraId="2E9F6DC2" w14:textId="77777777" w:rsidR="00EA0061" w:rsidRDefault="00EA0061" w:rsidP="004F7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415CA" w14:textId="0D4D8212" w:rsidR="004F755E" w:rsidRDefault="006D5B69" w:rsidP="006D5B69">
    <w:pPr>
      <w:pStyle w:val="Header"/>
      <w:jc w:val="right"/>
    </w:pPr>
    <w:r>
      <w:rPr>
        <w:noProof/>
      </w:rPr>
      <w:drawing>
        <wp:anchor distT="0" distB="0" distL="114300" distR="114300" simplePos="0" relativeHeight="251659264" behindDoc="0" locked="0" layoutInCell="1" allowOverlap="1" wp14:anchorId="600F2E3F" wp14:editId="7183B61E">
          <wp:simplePos x="0" y="0"/>
          <wp:positionH relativeFrom="column">
            <wp:posOffset>-57150</wp:posOffset>
          </wp:positionH>
          <wp:positionV relativeFrom="paragraph">
            <wp:posOffset>-40005</wp:posOffset>
          </wp:positionV>
          <wp:extent cx="1965325" cy="381372"/>
          <wp:effectExtent l="0" t="0" r="0" b="0"/>
          <wp:wrapSquare wrapText="bothSides"/>
          <wp:docPr id="3" name="Picture 3" descr="logo_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0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b="27469"/>
                  <a:stretch/>
                </pic:blipFill>
                <pic:spPr bwMode="auto">
                  <a:xfrm>
                    <a:off x="0" y="0"/>
                    <a:ext cx="1965325" cy="381372"/>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83.5pt;height:187pt" o:bullet="t">
        <v:imagedata r:id="rId1" o:title="Red_Bulet"/>
      </v:shape>
    </w:pict>
  </w:numPicBullet>
  <w:abstractNum w:abstractNumId="0" w15:restartNumberingAfterBreak="0">
    <w:nsid w:val="01E01252"/>
    <w:multiLevelType w:val="multilevel"/>
    <w:tmpl w:val="CE10C79C"/>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4E86DD7"/>
    <w:multiLevelType w:val="hybridMultilevel"/>
    <w:tmpl w:val="096013D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09BF1AC6"/>
    <w:multiLevelType w:val="multilevel"/>
    <w:tmpl w:val="DD56ED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ascii="David" w:hAnsi="David" w:cs="David" w:hint="default"/>
        <w:b w:val="0"/>
        <w:bCs w:val="0"/>
        <w:sz w:val="24"/>
        <w:szCs w:val="24"/>
        <w:lang w:val="en-U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D467CC"/>
    <w:multiLevelType w:val="hybridMultilevel"/>
    <w:tmpl w:val="987693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D005F8"/>
    <w:multiLevelType w:val="hybridMultilevel"/>
    <w:tmpl w:val="5652FFE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52452"/>
    <w:multiLevelType w:val="hybridMultilevel"/>
    <w:tmpl w:val="BDA0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721CE"/>
    <w:multiLevelType w:val="hybridMultilevel"/>
    <w:tmpl w:val="AA38B74A"/>
    <w:lvl w:ilvl="0" w:tplc="2AA436E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8" w15:restartNumberingAfterBreak="0">
    <w:nsid w:val="2B87069A"/>
    <w:multiLevelType w:val="hybridMultilevel"/>
    <w:tmpl w:val="D2081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301EB2"/>
    <w:multiLevelType w:val="hybridMultilevel"/>
    <w:tmpl w:val="7C764D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D3BC7"/>
    <w:multiLevelType w:val="hybridMultilevel"/>
    <w:tmpl w:val="E4EC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A53CE"/>
    <w:multiLevelType w:val="hybridMultilevel"/>
    <w:tmpl w:val="90BE7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B67DA9"/>
    <w:multiLevelType w:val="hybridMultilevel"/>
    <w:tmpl w:val="2DC8D88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70BA6"/>
    <w:multiLevelType w:val="hybridMultilevel"/>
    <w:tmpl w:val="A4D29E5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E4C7F"/>
    <w:multiLevelType w:val="hybridMultilevel"/>
    <w:tmpl w:val="FDC40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BD6708"/>
    <w:multiLevelType w:val="hybridMultilevel"/>
    <w:tmpl w:val="1CF2D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E5C6E"/>
    <w:multiLevelType w:val="multilevel"/>
    <w:tmpl w:val="82AC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9F15C6"/>
    <w:multiLevelType w:val="hybridMultilevel"/>
    <w:tmpl w:val="4DF04FC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7"/>
  </w:num>
  <w:num w:numId="5">
    <w:abstractNumId w:val="15"/>
  </w:num>
  <w:num w:numId="6">
    <w:abstractNumId w:val="3"/>
  </w:num>
  <w:num w:numId="7">
    <w:abstractNumId w:val="9"/>
  </w:num>
  <w:num w:numId="8">
    <w:abstractNumId w:val="10"/>
  </w:num>
  <w:num w:numId="9">
    <w:abstractNumId w:val="5"/>
  </w:num>
  <w:num w:numId="10">
    <w:abstractNumId w:val="16"/>
  </w:num>
  <w:num w:numId="11">
    <w:abstractNumId w:val="13"/>
  </w:num>
  <w:num w:numId="12">
    <w:abstractNumId w:val="11"/>
  </w:num>
  <w:num w:numId="13">
    <w:abstractNumId w:val="1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8"/>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76"/>
    <w:rsid w:val="00001BCF"/>
    <w:rsid w:val="0000696B"/>
    <w:rsid w:val="00014502"/>
    <w:rsid w:val="0001774A"/>
    <w:rsid w:val="00024CC5"/>
    <w:rsid w:val="0002706C"/>
    <w:rsid w:val="00031DAA"/>
    <w:rsid w:val="00037182"/>
    <w:rsid w:val="00041524"/>
    <w:rsid w:val="000418EC"/>
    <w:rsid w:val="000577C2"/>
    <w:rsid w:val="00071010"/>
    <w:rsid w:val="00081831"/>
    <w:rsid w:val="00085D72"/>
    <w:rsid w:val="0009094B"/>
    <w:rsid w:val="000978EE"/>
    <w:rsid w:val="000B4AB5"/>
    <w:rsid w:val="000C0451"/>
    <w:rsid w:val="000C2B90"/>
    <w:rsid w:val="000C310C"/>
    <w:rsid w:val="000D7F6D"/>
    <w:rsid w:val="000E0354"/>
    <w:rsid w:val="00105626"/>
    <w:rsid w:val="00114DD4"/>
    <w:rsid w:val="00120BF0"/>
    <w:rsid w:val="001256DB"/>
    <w:rsid w:val="00125C90"/>
    <w:rsid w:val="001338E6"/>
    <w:rsid w:val="00142280"/>
    <w:rsid w:val="00143EDC"/>
    <w:rsid w:val="00155DA7"/>
    <w:rsid w:val="00177A92"/>
    <w:rsid w:val="001861D8"/>
    <w:rsid w:val="00190FF8"/>
    <w:rsid w:val="0019185B"/>
    <w:rsid w:val="001A4924"/>
    <w:rsid w:val="001B04EC"/>
    <w:rsid w:val="001B189F"/>
    <w:rsid w:val="001B2C9E"/>
    <w:rsid w:val="001C0783"/>
    <w:rsid w:val="001C16C9"/>
    <w:rsid w:val="001C5C9B"/>
    <w:rsid w:val="001C64E2"/>
    <w:rsid w:val="001D0E8F"/>
    <w:rsid w:val="001D5680"/>
    <w:rsid w:val="001E0D7D"/>
    <w:rsid w:val="001F0289"/>
    <w:rsid w:val="001F17CD"/>
    <w:rsid w:val="0020557A"/>
    <w:rsid w:val="00225064"/>
    <w:rsid w:val="00245534"/>
    <w:rsid w:val="00246FF0"/>
    <w:rsid w:val="00251E75"/>
    <w:rsid w:val="00253DD4"/>
    <w:rsid w:val="00254951"/>
    <w:rsid w:val="00263C6D"/>
    <w:rsid w:val="002709BA"/>
    <w:rsid w:val="00276DEE"/>
    <w:rsid w:val="002861E1"/>
    <w:rsid w:val="00290E5B"/>
    <w:rsid w:val="0029340F"/>
    <w:rsid w:val="002A04F2"/>
    <w:rsid w:val="002A1AF8"/>
    <w:rsid w:val="002C4175"/>
    <w:rsid w:val="002C669D"/>
    <w:rsid w:val="002F6B49"/>
    <w:rsid w:val="00305728"/>
    <w:rsid w:val="003126F8"/>
    <w:rsid w:val="003148D7"/>
    <w:rsid w:val="00343709"/>
    <w:rsid w:val="00350414"/>
    <w:rsid w:val="003506E0"/>
    <w:rsid w:val="00357428"/>
    <w:rsid w:val="00360316"/>
    <w:rsid w:val="00362CA8"/>
    <w:rsid w:val="00366B54"/>
    <w:rsid w:val="00366F52"/>
    <w:rsid w:val="00372B30"/>
    <w:rsid w:val="00377341"/>
    <w:rsid w:val="00385A9E"/>
    <w:rsid w:val="00392E4D"/>
    <w:rsid w:val="00395FA8"/>
    <w:rsid w:val="003B15B4"/>
    <w:rsid w:val="003B65D9"/>
    <w:rsid w:val="003D24D4"/>
    <w:rsid w:val="003D3F98"/>
    <w:rsid w:val="003D4C4A"/>
    <w:rsid w:val="00414913"/>
    <w:rsid w:val="004155C5"/>
    <w:rsid w:val="00431B5B"/>
    <w:rsid w:val="00437EF8"/>
    <w:rsid w:val="00442C23"/>
    <w:rsid w:val="00445B57"/>
    <w:rsid w:val="00454D24"/>
    <w:rsid w:val="00461E55"/>
    <w:rsid w:val="00465F2A"/>
    <w:rsid w:val="004661AB"/>
    <w:rsid w:val="0046655B"/>
    <w:rsid w:val="00474DF7"/>
    <w:rsid w:val="004813AD"/>
    <w:rsid w:val="0048194B"/>
    <w:rsid w:val="00494203"/>
    <w:rsid w:val="004A12F8"/>
    <w:rsid w:val="004A1303"/>
    <w:rsid w:val="004A4A94"/>
    <w:rsid w:val="004B40F6"/>
    <w:rsid w:val="004B4A58"/>
    <w:rsid w:val="004C2119"/>
    <w:rsid w:val="004D0527"/>
    <w:rsid w:val="004D0BA5"/>
    <w:rsid w:val="004D51F3"/>
    <w:rsid w:val="004E2015"/>
    <w:rsid w:val="004E517C"/>
    <w:rsid w:val="004F755E"/>
    <w:rsid w:val="0051572F"/>
    <w:rsid w:val="005275C6"/>
    <w:rsid w:val="005448E3"/>
    <w:rsid w:val="005641AA"/>
    <w:rsid w:val="005650E5"/>
    <w:rsid w:val="00591F3F"/>
    <w:rsid w:val="005A5181"/>
    <w:rsid w:val="005A5A08"/>
    <w:rsid w:val="005A6308"/>
    <w:rsid w:val="005C2482"/>
    <w:rsid w:val="005C25CC"/>
    <w:rsid w:val="005E529C"/>
    <w:rsid w:val="005F2515"/>
    <w:rsid w:val="005F33A4"/>
    <w:rsid w:val="00623ED4"/>
    <w:rsid w:val="00626F75"/>
    <w:rsid w:val="00631C71"/>
    <w:rsid w:val="0064354E"/>
    <w:rsid w:val="006462B1"/>
    <w:rsid w:val="00647CA3"/>
    <w:rsid w:val="006524A3"/>
    <w:rsid w:val="00662C42"/>
    <w:rsid w:val="00672A67"/>
    <w:rsid w:val="00680DB1"/>
    <w:rsid w:val="0068731D"/>
    <w:rsid w:val="006B71B3"/>
    <w:rsid w:val="006C17B1"/>
    <w:rsid w:val="006D4EF9"/>
    <w:rsid w:val="006D5B69"/>
    <w:rsid w:val="006E27A2"/>
    <w:rsid w:val="006E3038"/>
    <w:rsid w:val="006F1BA6"/>
    <w:rsid w:val="007016BE"/>
    <w:rsid w:val="00701FEC"/>
    <w:rsid w:val="00710354"/>
    <w:rsid w:val="0074015F"/>
    <w:rsid w:val="00770B48"/>
    <w:rsid w:val="00773227"/>
    <w:rsid w:val="00781B64"/>
    <w:rsid w:val="0078418B"/>
    <w:rsid w:val="007B1F4F"/>
    <w:rsid w:val="007B62AE"/>
    <w:rsid w:val="007C324A"/>
    <w:rsid w:val="007C6EBC"/>
    <w:rsid w:val="007E01A8"/>
    <w:rsid w:val="008026D4"/>
    <w:rsid w:val="00802771"/>
    <w:rsid w:val="00802895"/>
    <w:rsid w:val="0081435F"/>
    <w:rsid w:val="00817606"/>
    <w:rsid w:val="008243D2"/>
    <w:rsid w:val="008243F3"/>
    <w:rsid w:val="008269FC"/>
    <w:rsid w:val="008278EE"/>
    <w:rsid w:val="00833830"/>
    <w:rsid w:val="00841A1B"/>
    <w:rsid w:val="00852E67"/>
    <w:rsid w:val="008707DF"/>
    <w:rsid w:val="0087442B"/>
    <w:rsid w:val="008756EB"/>
    <w:rsid w:val="0087634E"/>
    <w:rsid w:val="00880598"/>
    <w:rsid w:val="00880AAB"/>
    <w:rsid w:val="008839BF"/>
    <w:rsid w:val="00883E77"/>
    <w:rsid w:val="00897718"/>
    <w:rsid w:val="008A26FF"/>
    <w:rsid w:val="008A5CCC"/>
    <w:rsid w:val="008A65CD"/>
    <w:rsid w:val="008C255B"/>
    <w:rsid w:val="008C4D91"/>
    <w:rsid w:val="008C7D0A"/>
    <w:rsid w:val="008D1573"/>
    <w:rsid w:val="008D19C7"/>
    <w:rsid w:val="008D5421"/>
    <w:rsid w:val="008D7FDB"/>
    <w:rsid w:val="008F74DA"/>
    <w:rsid w:val="009140E9"/>
    <w:rsid w:val="00924E35"/>
    <w:rsid w:val="00927676"/>
    <w:rsid w:val="009302C7"/>
    <w:rsid w:val="00930C5B"/>
    <w:rsid w:val="00936888"/>
    <w:rsid w:val="00944019"/>
    <w:rsid w:val="00945718"/>
    <w:rsid w:val="00957CC4"/>
    <w:rsid w:val="00965E06"/>
    <w:rsid w:val="00987187"/>
    <w:rsid w:val="00987C73"/>
    <w:rsid w:val="00990D83"/>
    <w:rsid w:val="009A6B41"/>
    <w:rsid w:val="009A7408"/>
    <w:rsid w:val="009A758E"/>
    <w:rsid w:val="009B2180"/>
    <w:rsid w:val="009B3EF4"/>
    <w:rsid w:val="009C1A97"/>
    <w:rsid w:val="009E008B"/>
    <w:rsid w:val="009E545D"/>
    <w:rsid w:val="009E5EB0"/>
    <w:rsid w:val="009E651C"/>
    <w:rsid w:val="009F1B6E"/>
    <w:rsid w:val="00A003E3"/>
    <w:rsid w:val="00A02415"/>
    <w:rsid w:val="00A25C90"/>
    <w:rsid w:val="00A33C74"/>
    <w:rsid w:val="00A35602"/>
    <w:rsid w:val="00A370FF"/>
    <w:rsid w:val="00A43235"/>
    <w:rsid w:val="00A46D13"/>
    <w:rsid w:val="00A47AA5"/>
    <w:rsid w:val="00A56EAB"/>
    <w:rsid w:val="00A63C5E"/>
    <w:rsid w:val="00A804FC"/>
    <w:rsid w:val="00A81804"/>
    <w:rsid w:val="00A91A44"/>
    <w:rsid w:val="00A9558B"/>
    <w:rsid w:val="00AA098E"/>
    <w:rsid w:val="00AA2BF9"/>
    <w:rsid w:val="00AA6907"/>
    <w:rsid w:val="00AB1881"/>
    <w:rsid w:val="00AB2279"/>
    <w:rsid w:val="00AB2E3E"/>
    <w:rsid w:val="00AB3B85"/>
    <w:rsid w:val="00AC02C9"/>
    <w:rsid w:val="00AE1156"/>
    <w:rsid w:val="00AE26E0"/>
    <w:rsid w:val="00AE661D"/>
    <w:rsid w:val="00B21CA9"/>
    <w:rsid w:val="00B22343"/>
    <w:rsid w:val="00B27FC7"/>
    <w:rsid w:val="00B42A8E"/>
    <w:rsid w:val="00B476FF"/>
    <w:rsid w:val="00B61C0D"/>
    <w:rsid w:val="00B66215"/>
    <w:rsid w:val="00B76D4C"/>
    <w:rsid w:val="00B76FCF"/>
    <w:rsid w:val="00B808B8"/>
    <w:rsid w:val="00B821BC"/>
    <w:rsid w:val="00B875C6"/>
    <w:rsid w:val="00BA1D1C"/>
    <w:rsid w:val="00BA5609"/>
    <w:rsid w:val="00BA609E"/>
    <w:rsid w:val="00BA74A1"/>
    <w:rsid w:val="00BB089D"/>
    <w:rsid w:val="00BB2E73"/>
    <w:rsid w:val="00BB3F95"/>
    <w:rsid w:val="00BD6E55"/>
    <w:rsid w:val="00BE0F73"/>
    <w:rsid w:val="00C02914"/>
    <w:rsid w:val="00C03776"/>
    <w:rsid w:val="00C103BF"/>
    <w:rsid w:val="00C20C5B"/>
    <w:rsid w:val="00C22E27"/>
    <w:rsid w:val="00C2741E"/>
    <w:rsid w:val="00C3101B"/>
    <w:rsid w:val="00C34B20"/>
    <w:rsid w:val="00C35457"/>
    <w:rsid w:val="00C44551"/>
    <w:rsid w:val="00C53FED"/>
    <w:rsid w:val="00C6537A"/>
    <w:rsid w:val="00C657FF"/>
    <w:rsid w:val="00C8007F"/>
    <w:rsid w:val="00C801F4"/>
    <w:rsid w:val="00C81B8B"/>
    <w:rsid w:val="00C83CD2"/>
    <w:rsid w:val="00C86576"/>
    <w:rsid w:val="00C868DF"/>
    <w:rsid w:val="00C904D7"/>
    <w:rsid w:val="00C9342C"/>
    <w:rsid w:val="00C970D0"/>
    <w:rsid w:val="00CB6AE6"/>
    <w:rsid w:val="00CC5A0F"/>
    <w:rsid w:val="00CC71A2"/>
    <w:rsid w:val="00CD3F9B"/>
    <w:rsid w:val="00CD5B96"/>
    <w:rsid w:val="00CF27DA"/>
    <w:rsid w:val="00CF2E37"/>
    <w:rsid w:val="00D02769"/>
    <w:rsid w:val="00D24E02"/>
    <w:rsid w:val="00D33753"/>
    <w:rsid w:val="00D362DC"/>
    <w:rsid w:val="00D62352"/>
    <w:rsid w:val="00D66FF6"/>
    <w:rsid w:val="00D7259C"/>
    <w:rsid w:val="00D77639"/>
    <w:rsid w:val="00DA0880"/>
    <w:rsid w:val="00DA4F58"/>
    <w:rsid w:val="00DB355C"/>
    <w:rsid w:val="00DB61CD"/>
    <w:rsid w:val="00DB6A04"/>
    <w:rsid w:val="00DC62AC"/>
    <w:rsid w:val="00DD100B"/>
    <w:rsid w:val="00DD3998"/>
    <w:rsid w:val="00DD4BA0"/>
    <w:rsid w:val="00DE5166"/>
    <w:rsid w:val="00DF334A"/>
    <w:rsid w:val="00E001E0"/>
    <w:rsid w:val="00E20F13"/>
    <w:rsid w:val="00E27515"/>
    <w:rsid w:val="00E27EDA"/>
    <w:rsid w:val="00E320BA"/>
    <w:rsid w:val="00E4372E"/>
    <w:rsid w:val="00E53C5F"/>
    <w:rsid w:val="00E64ACF"/>
    <w:rsid w:val="00E64CDC"/>
    <w:rsid w:val="00E9057A"/>
    <w:rsid w:val="00EA0061"/>
    <w:rsid w:val="00EA1209"/>
    <w:rsid w:val="00EB7915"/>
    <w:rsid w:val="00ED12D8"/>
    <w:rsid w:val="00ED3546"/>
    <w:rsid w:val="00EF263D"/>
    <w:rsid w:val="00EF6B30"/>
    <w:rsid w:val="00F02A75"/>
    <w:rsid w:val="00F120F3"/>
    <w:rsid w:val="00F231F9"/>
    <w:rsid w:val="00F31462"/>
    <w:rsid w:val="00F3688D"/>
    <w:rsid w:val="00F477F5"/>
    <w:rsid w:val="00F61663"/>
    <w:rsid w:val="00F63C3B"/>
    <w:rsid w:val="00F67795"/>
    <w:rsid w:val="00F70C82"/>
    <w:rsid w:val="00F7179A"/>
    <w:rsid w:val="00F73C82"/>
    <w:rsid w:val="00F92026"/>
    <w:rsid w:val="00F948D5"/>
    <w:rsid w:val="00FA0C22"/>
    <w:rsid w:val="00FA1311"/>
    <w:rsid w:val="00FA1A6E"/>
    <w:rsid w:val="00FA45B1"/>
    <w:rsid w:val="00FA5FCF"/>
    <w:rsid w:val="00FA6F7E"/>
    <w:rsid w:val="00FB3CAD"/>
    <w:rsid w:val="00FC2931"/>
    <w:rsid w:val="00FC6643"/>
    <w:rsid w:val="00FF0017"/>
    <w:rsid w:val="00FF094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C74DB"/>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55E"/>
    <w:pPr>
      <w:bidi/>
      <w:spacing w:after="200" w:line="276" w:lineRule="auto"/>
    </w:pPr>
    <w:rPr>
      <w:rFonts w:eastAsiaTheme="minorHAnsi"/>
      <w:sz w:val="22"/>
      <w:szCs w:val="22"/>
      <w:lang w:bidi="he-IL"/>
    </w:rPr>
  </w:style>
  <w:style w:type="paragraph" w:styleId="Heading1">
    <w:name w:val="heading 1"/>
    <w:basedOn w:val="Normal"/>
    <w:next w:val="Normal"/>
    <w:link w:val="Heading1Char"/>
    <w:uiPriority w:val="9"/>
    <w:qFormat/>
    <w:rsid w:val="008D542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D54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1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C22E2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55E"/>
    <w:rPr>
      <w:rFonts w:ascii="Lucida Grande" w:hAnsi="Lucida Grande" w:cs="Lucida Grande"/>
      <w:sz w:val="18"/>
      <w:szCs w:val="18"/>
    </w:rPr>
  </w:style>
  <w:style w:type="paragraph" w:styleId="Header">
    <w:name w:val="header"/>
    <w:basedOn w:val="Normal"/>
    <w:link w:val="HeaderChar"/>
    <w:uiPriority w:val="99"/>
    <w:unhideWhenUsed/>
    <w:rsid w:val="004F755E"/>
    <w:pPr>
      <w:tabs>
        <w:tab w:val="center" w:pos="4320"/>
        <w:tab w:val="right" w:pos="8640"/>
      </w:tabs>
    </w:pPr>
  </w:style>
  <w:style w:type="character" w:customStyle="1" w:styleId="HeaderChar">
    <w:name w:val="Header Char"/>
    <w:basedOn w:val="DefaultParagraphFont"/>
    <w:link w:val="Header"/>
    <w:uiPriority w:val="99"/>
    <w:rsid w:val="004F755E"/>
  </w:style>
  <w:style w:type="paragraph" w:styleId="Footer">
    <w:name w:val="footer"/>
    <w:basedOn w:val="Normal"/>
    <w:link w:val="FooterChar"/>
    <w:uiPriority w:val="99"/>
    <w:unhideWhenUsed/>
    <w:rsid w:val="004F755E"/>
    <w:pPr>
      <w:tabs>
        <w:tab w:val="center" w:pos="4320"/>
        <w:tab w:val="right" w:pos="8640"/>
      </w:tabs>
    </w:pPr>
  </w:style>
  <w:style w:type="character" w:customStyle="1" w:styleId="FooterChar">
    <w:name w:val="Footer Char"/>
    <w:basedOn w:val="DefaultParagraphFont"/>
    <w:link w:val="Footer"/>
    <w:uiPriority w:val="99"/>
    <w:rsid w:val="004F755E"/>
  </w:style>
  <w:style w:type="paragraph" w:styleId="ListParagraph">
    <w:name w:val="List Paragraph"/>
    <w:basedOn w:val="Normal"/>
    <w:uiPriority w:val="34"/>
    <w:qFormat/>
    <w:rsid w:val="004F755E"/>
    <w:pPr>
      <w:ind w:left="720"/>
      <w:contextualSpacing/>
    </w:pPr>
    <w:rPr>
      <w:rFonts w:ascii="Calibri" w:eastAsia="Calibri" w:hAnsi="Calibri" w:cs="Arial"/>
    </w:rPr>
  </w:style>
  <w:style w:type="character" w:customStyle="1" w:styleId="Heading4Char">
    <w:name w:val="Heading 4 Char"/>
    <w:basedOn w:val="DefaultParagraphFont"/>
    <w:link w:val="Heading4"/>
    <w:uiPriority w:val="9"/>
    <w:rsid w:val="00C22E27"/>
    <w:rPr>
      <w:rFonts w:ascii="Times New Roman" w:eastAsia="Times New Roman" w:hAnsi="Times New Roman" w:cs="Times New Roman"/>
      <w:b/>
      <w:bCs/>
      <w:lang w:bidi="he-IL"/>
    </w:rPr>
  </w:style>
  <w:style w:type="paragraph" w:styleId="NormalWeb">
    <w:name w:val="Normal (Web)"/>
    <w:basedOn w:val="Normal"/>
    <w:uiPriority w:val="99"/>
    <w:unhideWhenUsed/>
    <w:rsid w:val="00C22E2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2E27"/>
    <w:rPr>
      <w:color w:val="0000FF"/>
      <w:u w:val="single"/>
    </w:rPr>
  </w:style>
  <w:style w:type="character" w:customStyle="1" w:styleId="ob-unit">
    <w:name w:val="ob-unit"/>
    <w:basedOn w:val="DefaultParagraphFont"/>
    <w:rsid w:val="00C22E27"/>
  </w:style>
  <w:style w:type="character" w:customStyle="1" w:styleId="ob-rec-label">
    <w:name w:val="ob-rec-label"/>
    <w:basedOn w:val="DefaultParagraphFont"/>
    <w:rsid w:val="00C22E27"/>
  </w:style>
  <w:style w:type="character" w:customStyle="1" w:styleId="imageinside">
    <w:name w:val="image_inside"/>
    <w:basedOn w:val="DefaultParagraphFont"/>
    <w:rsid w:val="00C22E27"/>
  </w:style>
  <w:style w:type="character" w:customStyle="1" w:styleId="cornerholder">
    <w:name w:val="corner_holder"/>
    <w:basedOn w:val="DefaultParagraphFont"/>
    <w:rsid w:val="00C22E27"/>
  </w:style>
  <w:style w:type="character" w:customStyle="1" w:styleId="imgtitle">
    <w:name w:val="img_title"/>
    <w:basedOn w:val="DefaultParagraphFont"/>
    <w:rsid w:val="00C22E27"/>
  </w:style>
  <w:style w:type="character" w:customStyle="1" w:styleId="creditpipeseparator">
    <w:name w:val="creditpipeseparator"/>
    <w:basedOn w:val="DefaultParagraphFont"/>
    <w:rsid w:val="00C22E27"/>
  </w:style>
  <w:style w:type="character" w:customStyle="1" w:styleId="imgcredits">
    <w:name w:val="img_credits"/>
    <w:basedOn w:val="DefaultParagraphFont"/>
    <w:rsid w:val="00C22E27"/>
  </w:style>
  <w:style w:type="character" w:customStyle="1" w:styleId="Heading3Char">
    <w:name w:val="Heading 3 Char"/>
    <w:basedOn w:val="DefaultParagraphFont"/>
    <w:link w:val="Heading3"/>
    <w:uiPriority w:val="9"/>
    <w:rsid w:val="00AE1156"/>
    <w:rPr>
      <w:rFonts w:asciiTheme="majorHAnsi" w:eastAsiaTheme="majorEastAsia" w:hAnsiTheme="majorHAnsi" w:cstheme="majorBidi"/>
      <w:color w:val="243F60" w:themeColor="accent1" w:themeShade="7F"/>
      <w:lang w:bidi="he-IL"/>
    </w:rPr>
  </w:style>
  <w:style w:type="paragraph" w:styleId="FootnoteText">
    <w:name w:val="footnote text"/>
    <w:aliases w:val="טקסט הערות שוליים111,טקסט הערות שוליים11111, תו תו2111,טקסט הערות שוליים21111,טקסט הערות שוליים1,טקסט הערות שוליים2 תו,טקסט הערות שוליים2 תו תו,טקסט הערות שוליים2,תו תו,תו תו1,תו תו11,תו2,תו תו111,Heading 2 Char2,s Char2,תו Char,Char,תו,fn"/>
    <w:basedOn w:val="Normal"/>
    <w:link w:val="FootnoteTextChar"/>
    <w:rsid w:val="000E0354"/>
    <w:pPr>
      <w:widowControl w:val="0"/>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טקסט הערות שוליים111 Char,טקסט הערות שוליים11111 Char, תו תו2111 Char,טקסט הערות שוליים21111 Char,טקסט הערות שוליים1 Char,טקסט הערות שוליים2 תו Char,טקסט הערות שוליים2 תו תו Char,טקסט הערות שוליים2 Char,תו תו Char,תו תו1 Char,תו2 Char"/>
    <w:basedOn w:val="DefaultParagraphFont"/>
    <w:link w:val="FootnoteText"/>
    <w:rsid w:val="000E0354"/>
    <w:rPr>
      <w:rFonts w:ascii="Times New Roman" w:eastAsia="Times New Roman" w:hAnsi="Times New Roman" w:cs="Times New Roman"/>
      <w:sz w:val="20"/>
      <w:szCs w:val="20"/>
      <w:lang w:bidi="he-IL"/>
    </w:rPr>
  </w:style>
  <w:style w:type="character" w:styleId="FootnoteReference">
    <w:name w:val="footnote reference"/>
    <w:uiPriority w:val="99"/>
    <w:rsid w:val="000E0354"/>
    <w:rPr>
      <w:vertAlign w:val="superscript"/>
    </w:rPr>
  </w:style>
  <w:style w:type="paragraph" w:customStyle="1" w:styleId="1">
    <w:name w:val="היסט1"/>
    <w:basedOn w:val="Normal"/>
    <w:rsid w:val="00C3101B"/>
    <w:pPr>
      <w:numPr>
        <w:numId w:val="18"/>
      </w:numPr>
      <w:spacing w:before="120" w:after="0" w:line="360" w:lineRule="auto"/>
      <w:jc w:val="both"/>
    </w:pPr>
    <w:rPr>
      <w:rFonts w:ascii="Arial" w:eastAsia="Times New Roman" w:hAnsi="Arial" w:cs="David"/>
      <w:sz w:val="24"/>
      <w:szCs w:val="24"/>
      <w:lang w:eastAsia="zh-CN"/>
    </w:rPr>
  </w:style>
  <w:style w:type="paragraph" w:customStyle="1" w:styleId="2">
    <w:name w:val="היסט2"/>
    <w:basedOn w:val="Normal"/>
    <w:rsid w:val="00C3101B"/>
    <w:pPr>
      <w:numPr>
        <w:ilvl w:val="1"/>
        <w:numId w:val="18"/>
      </w:numPr>
      <w:spacing w:before="120" w:after="0" w:line="360" w:lineRule="auto"/>
      <w:jc w:val="both"/>
    </w:pPr>
    <w:rPr>
      <w:rFonts w:ascii="Arial" w:eastAsia="Times New Roman" w:hAnsi="Arial" w:cs="David"/>
      <w:sz w:val="24"/>
      <w:szCs w:val="24"/>
      <w:lang w:eastAsia="zh-CN"/>
    </w:rPr>
  </w:style>
  <w:style w:type="paragraph" w:customStyle="1" w:styleId="3">
    <w:name w:val="היסט3"/>
    <w:basedOn w:val="Normal"/>
    <w:rsid w:val="00C3101B"/>
    <w:pPr>
      <w:numPr>
        <w:ilvl w:val="2"/>
        <w:numId w:val="18"/>
      </w:numPr>
      <w:spacing w:before="120" w:after="0" w:line="360" w:lineRule="auto"/>
      <w:jc w:val="both"/>
    </w:pPr>
    <w:rPr>
      <w:rFonts w:ascii="Arial" w:eastAsia="Times New Roman" w:hAnsi="Arial" w:cs="David"/>
      <w:sz w:val="24"/>
      <w:szCs w:val="24"/>
      <w:lang w:eastAsia="zh-CN"/>
    </w:rPr>
  </w:style>
  <w:style w:type="paragraph" w:customStyle="1" w:styleId="4">
    <w:name w:val="היסט4"/>
    <w:basedOn w:val="Normal"/>
    <w:rsid w:val="00C3101B"/>
    <w:pPr>
      <w:numPr>
        <w:ilvl w:val="3"/>
        <w:numId w:val="18"/>
      </w:numPr>
      <w:spacing w:before="120" w:after="0" w:line="360" w:lineRule="auto"/>
      <w:jc w:val="both"/>
    </w:pPr>
    <w:rPr>
      <w:rFonts w:ascii="Arial" w:eastAsia="Times New Roman" w:hAnsi="Arial" w:cs="David"/>
      <w:sz w:val="24"/>
      <w:szCs w:val="24"/>
      <w:lang w:eastAsia="zh-CN"/>
    </w:rPr>
  </w:style>
  <w:style w:type="character" w:styleId="CommentReference">
    <w:name w:val="annotation reference"/>
    <w:basedOn w:val="DefaultParagraphFont"/>
    <w:uiPriority w:val="99"/>
    <w:semiHidden/>
    <w:unhideWhenUsed/>
    <w:rsid w:val="008D7FDB"/>
    <w:rPr>
      <w:sz w:val="16"/>
      <w:szCs w:val="16"/>
    </w:rPr>
  </w:style>
  <w:style w:type="paragraph" w:styleId="CommentText">
    <w:name w:val="annotation text"/>
    <w:basedOn w:val="Normal"/>
    <w:link w:val="CommentTextChar"/>
    <w:uiPriority w:val="99"/>
    <w:unhideWhenUsed/>
    <w:rsid w:val="008D7FDB"/>
    <w:pPr>
      <w:widowControl w:val="0"/>
      <w:autoSpaceDE w:val="0"/>
      <w:autoSpaceDN w:val="0"/>
      <w:bidi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D7FDB"/>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6C17B1"/>
    <w:pPr>
      <w:widowControl/>
      <w:autoSpaceDE/>
      <w:autoSpaceDN/>
      <w:bidi/>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C17B1"/>
    <w:rPr>
      <w:rFonts w:ascii="Times New Roman" w:eastAsiaTheme="minorHAnsi" w:hAnsi="Times New Roman" w:cs="Times New Roman"/>
      <w:b/>
      <w:bCs/>
      <w:sz w:val="20"/>
      <w:szCs w:val="20"/>
      <w:lang w:bidi="he-IL"/>
    </w:rPr>
  </w:style>
  <w:style w:type="character" w:customStyle="1" w:styleId="Heading1Char">
    <w:name w:val="Heading 1 Char"/>
    <w:basedOn w:val="DefaultParagraphFont"/>
    <w:link w:val="Heading1"/>
    <w:uiPriority w:val="9"/>
    <w:rsid w:val="008D5421"/>
    <w:rPr>
      <w:rFonts w:asciiTheme="majorHAnsi" w:eastAsiaTheme="majorEastAsia" w:hAnsiTheme="majorHAnsi" w:cstheme="majorBidi"/>
      <w:color w:val="365F91" w:themeColor="accent1" w:themeShade="BF"/>
      <w:sz w:val="32"/>
      <w:szCs w:val="32"/>
      <w:lang w:bidi="he-IL"/>
    </w:rPr>
  </w:style>
  <w:style w:type="character" w:customStyle="1" w:styleId="Heading2Char">
    <w:name w:val="Heading 2 Char"/>
    <w:basedOn w:val="DefaultParagraphFont"/>
    <w:link w:val="Heading2"/>
    <w:uiPriority w:val="9"/>
    <w:rsid w:val="008D5421"/>
    <w:rPr>
      <w:rFonts w:asciiTheme="majorHAnsi" w:eastAsiaTheme="majorEastAsia" w:hAnsiTheme="majorHAnsi" w:cstheme="majorBidi"/>
      <w:color w:val="365F91" w:themeColor="accent1" w:themeShade="BF"/>
      <w:sz w:val="26"/>
      <w:szCs w:val="26"/>
      <w:lang w:bidi="he-IL"/>
    </w:rPr>
  </w:style>
  <w:style w:type="character" w:customStyle="1" w:styleId="tlid-translation">
    <w:name w:val="tlid-translation"/>
    <w:basedOn w:val="DefaultParagraphFont"/>
    <w:rsid w:val="00A91A44"/>
  </w:style>
  <w:style w:type="character" w:customStyle="1" w:styleId="xn-person">
    <w:name w:val="xn-person"/>
    <w:basedOn w:val="DefaultParagraphFont"/>
    <w:rsid w:val="009E5EB0"/>
  </w:style>
  <w:style w:type="character" w:customStyle="1" w:styleId="xn-location">
    <w:name w:val="xn-location"/>
    <w:basedOn w:val="DefaultParagraphFont"/>
    <w:rsid w:val="009E5EB0"/>
  </w:style>
  <w:style w:type="character" w:styleId="Strong">
    <w:name w:val="Strong"/>
    <w:basedOn w:val="DefaultParagraphFont"/>
    <w:uiPriority w:val="22"/>
    <w:qFormat/>
    <w:rsid w:val="004149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81554">
      <w:bodyDiv w:val="1"/>
      <w:marLeft w:val="0"/>
      <w:marRight w:val="0"/>
      <w:marTop w:val="0"/>
      <w:marBottom w:val="0"/>
      <w:divBdr>
        <w:top w:val="none" w:sz="0" w:space="0" w:color="auto"/>
        <w:left w:val="none" w:sz="0" w:space="0" w:color="auto"/>
        <w:bottom w:val="none" w:sz="0" w:space="0" w:color="auto"/>
        <w:right w:val="none" w:sz="0" w:space="0" w:color="auto"/>
      </w:divBdr>
    </w:div>
    <w:div w:id="203905535">
      <w:bodyDiv w:val="1"/>
      <w:marLeft w:val="0"/>
      <w:marRight w:val="0"/>
      <w:marTop w:val="0"/>
      <w:marBottom w:val="0"/>
      <w:divBdr>
        <w:top w:val="none" w:sz="0" w:space="0" w:color="auto"/>
        <w:left w:val="none" w:sz="0" w:space="0" w:color="auto"/>
        <w:bottom w:val="none" w:sz="0" w:space="0" w:color="auto"/>
        <w:right w:val="none" w:sz="0" w:space="0" w:color="auto"/>
      </w:divBdr>
    </w:div>
    <w:div w:id="575014603">
      <w:bodyDiv w:val="1"/>
      <w:marLeft w:val="0"/>
      <w:marRight w:val="0"/>
      <w:marTop w:val="0"/>
      <w:marBottom w:val="0"/>
      <w:divBdr>
        <w:top w:val="none" w:sz="0" w:space="0" w:color="auto"/>
        <w:left w:val="none" w:sz="0" w:space="0" w:color="auto"/>
        <w:bottom w:val="none" w:sz="0" w:space="0" w:color="auto"/>
        <w:right w:val="none" w:sz="0" w:space="0" w:color="auto"/>
      </w:divBdr>
    </w:div>
    <w:div w:id="783692712">
      <w:bodyDiv w:val="1"/>
      <w:marLeft w:val="0"/>
      <w:marRight w:val="0"/>
      <w:marTop w:val="0"/>
      <w:marBottom w:val="0"/>
      <w:divBdr>
        <w:top w:val="none" w:sz="0" w:space="0" w:color="auto"/>
        <w:left w:val="none" w:sz="0" w:space="0" w:color="auto"/>
        <w:bottom w:val="none" w:sz="0" w:space="0" w:color="auto"/>
        <w:right w:val="none" w:sz="0" w:space="0" w:color="auto"/>
      </w:divBdr>
    </w:div>
    <w:div w:id="895508154">
      <w:bodyDiv w:val="1"/>
      <w:marLeft w:val="0"/>
      <w:marRight w:val="0"/>
      <w:marTop w:val="0"/>
      <w:marBottom w:val="0"/>
      <w:divBdr>
        <w:top w:val="none" w:sz="0" w:space="0" w:color="auto"/>
        <w:left w:val="none" w:sz="0" w:space="0" w:color="auto"/>
        <w:bottom w:val="none" w:sz="0" w:space="0" w:color="auto"/>
        <w:right w:val="none" w:sz="0" w:space="0" w:color="auto"/>
      </w:divBdr>
    </w:div>
    <w:div w:id="898444079">
      <w:bodyDiv w:val="1"/>
      <w:marLeft w:val="0"/>
      <w:marRight w:val="0"/>
      <w:marTop w:val="0"/>
      <w:marBottom w:val="0"/>
      <w:divBdr>
        <w:top w:val="none" w:sz="0" w:space="0" w:color="auto"/>
        <w:left w:val="none" w:sz="0" w:space="0" w:color="auto"/>
        <w:bottom w:val="none" w:sz="0" w:space="0" w:color="auto"/>
        <w:right w:val="none" w:sz="0" w:space="0" w:color="auto"/>
      </w:divBdr>
    </w:div>
    <w:div w:id="919410155">
      <w:bodyDiv w:val="1"/>
      <w:marLeft w:val="0"/>
      <w:marRight w:val="0"/>
      <w:marTop w:val="0"/>
      <w:marBottom w:val="0"/>
      <w:divBdr>
        <w:top w:val="none" w:sz="0" w:space="0" w:color="auto"/>
        <w:left w:val="none" w:sz="0" w:space="0" w:color="auto"/>
        <w:bottom w:val="none" w:sz="0" w:space="0" w:color="auto"/>
        <w:right w:val="none" w:sz="0" w:space="0" w:color="auto"/>
      </w:divBdr>
      <w:divsChild>
        <w:div w:id="1927378323">
          <w:marLeft w:val="0"/>
          <w:marRight w:val="0"/>
          <w:marTop w:val="0"/>
          <w:marBottom w:val="270"/>
          <w:divBdr>
            <w:top w:val="none" w:sz="0" w:space="0" w:color="auto"/>
            <w:left w:val="none" w:sz="0" w:space="0" w:color="auto"/>
            <w:bottom w:val="single" w:sz="6" w:space="0" w:color="D4D9DA"/>
            <w:right w:val="none" w:sz="0" w:space="0" w:color="auto"/>
          </w:divBdr>
          <w:divsChild>
            <w:div w:id="492842017">
              <w:marLeft w:val="0"/>
              <w:marRight w:val="0"/>
              <w:marTop w:val="0"/>
              <w:marBottom w:val="0"/>
              <w:divBdr>
                <w:top w:val="none" w:sz="0" w:space="0" w:color="auto"/>
                <w:left w:val="none" w:sz="0" w:space="0" w:color="auto"/>
                <w:bottom w:val="none" w:sz="0" w:space="0" w:color="auto"/>
                <w:right w:val="none" w:sz="0" w:space="0" w:color="auto"/>
              </w:divBdr>
              <w:divsChild>
                <w:div w:id="48840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86759">
      <w:bodyDiv w:val="1"/>
      <w:marLeft w:val="0"/>
      <w:marRight w:val="0"/>
      <w:marTop w:val="0"/>
      <w:marBottom w:val="0"/>
      <w:divBdr>
        <w:top w:val="none" w:sz="0" w:space="0" w:color="auto"/>
        <w:left w:val="none" w:sz="0" w:space="0" w:color="auto"/>
        <w:bottom w:val="none" w:sz="0" w:space="0" w:color="auto"/>
        <w:right w:val="none" w:sz="0" w:space="0" w:color="auto"/>
      </w:divBdr>
    </w:div>
    <w:div w:id="1347440658">
      <w:bodyDiv w:val="1"/>
      <w:marLeft w:val="0"/>
      <w:marRight w:val="0"/>
      <w:marTop w:val="0"/>
      <w:marBottom w:val="0"/>
      <w:divBdr>
        <w:top w:val="none" w:sz="0" w:space="0" w:color="auto"/>
        <w:left w:val="none" w:sz="0" w:space="0" w:color="auto"/>
        <w:bottom w:val="none" w:sz="0" w:space="0" w:color="auto"/>
        <w:right w:val="none" w:sz="0" w:space="0" w:color="auto"/>
      </w:divBdr>
    </w:div>
    <w:div w:id="1470710104">
      <w:bodyDiv w:val="1"/>
      <w:marLeft w:val="0"/>
      <w:marRight w:val="0"/>
      <w:marTop w:val="0"/>
      <w:marBottom w:val="0"/>
      <w:divBdr>
        <w:top w:val="none" w:sz="0" w:space="0" w:color="auto"/>
        <w:left w:val="none" w:sz="0" w:space="0" w:color="auto"/>
        <w:bottom w:val="none" w:sz="0" w:space="0" w:color="auto"/>
        <w:right w:val="none" w:sz="0" w:space="0" w:color="auto"/>
      </w:divBdr>
    </w:div>
    <w:div w:id="1857888274">
      <w:bodyDiv w:val="1"/>
      <w:marLeft w:val="0"/>
      <w:marRight w:val="0"/>
      <w:marTop w:val="0"/>
      <w:marBottom w:val="0"/>
      <w:divBdr>
        <w:top w:val="none" w:sz="0" w:space="0" w:color="auto"/>
        <w:left w:val="none" w:sz="0" w:space="0" w:color="auto"/>
        <w:bottom w:val="none" w:sz="0" w:space="0" w:color="auto"/>
        <w:right w:val="none" w:sz="0" w:space="0" w:color="auto"/>
      </w:divBdr>
    </w:div>
    <w:div w:id="1963416599">
      <w:bodyDiv w:val="1"/>
      <w:marLeft w:val="0"/>
      <w:marRight w:val="0"/>
      <w:marTop w:val="0"/>
      <w:marBottom w:val="0"/>
      <w:divBdr>
        <w:top w:val="none" w:sz="0" w:space="0" w:color="auto"/>
        <w:left w:val="none" w:sz="0" w:space="0" w:color="auto"/>
        <w:bottom w:val="none" w:sz="0" w:space="0" w:color="auto"/>
        <w:right w:val="none" w:sz="0" w:space="0" w:color="auto"/>
      </w:divBdr>
      <w:divsChild>
        <w:div w:id="40831957">
          <w:marLeft w:val="0"/>
          <w:marRight w:val="0"/>
          <w:marTop w:val="0"/>
          <w:marBottom w:val="0"/>
          <w:divBdr>
            <w:top w:val="none" w:sz="0" w:space="0" w:color="auto"/>
            <w:left w:val="none" w:sz="0" w:space="0" w:color="auto"/>
            <w:bottom w:val="none" w:sz="0" w:space="0" w:color="auto"/>
            <w:right w:val="none" w:sz="0" w:space="0" w:color="auto"/>
          </w:divBdr>
          <w:divsChild>
            <w:div w:id="1940136315">
              <w:marLeft w:val="0"/>
              <w:marRight w:val="0"/>
              <w:marTop w:val="0"/>
              <w:marBottom w:val="0"/>
              <w:divBdr>
                <w:top w:val="none" w:sz="0" w:space="0" w:color="auto"/>
                <w:left w:val="none" w:sz="0" w:space="0" w:color="auto"/>
                <w:bottom w:val="none" w:sz="0" w:space="0" w:color="auto"/>
                <w:right w:val="none" w:sz="0" w:space="0" w:color="auto"/>
              </w:divBdr>
              <w:divsChild>
                <w:div w:id="738527403">
                  <w:marLeft w:val="0"/>
                  <w:marRight w:val="0"/>
                  <w:marTop w:val="0"/>
                  <w:marBottom w:val="0"/>
                  <w:divBdr>
                    <w:top w:val="none" w:sz="0" w:space="0" w:color="auto"/>
                    <w:left w:val="none" w:sz="0" w:space="0" w:color="auto"/>
                    <w:bottom w:val="none" w:sz="0" w:space="0" w:color="auto"/>
                    <w:right w:val="none" w:sz="0" w:space="0" w:color="auto"/>
                  </w:divBdr>
                </w:div>
                <w:div w:id="511457041">
                  <w:marLeft w:val="0"/>
                  <w:marRight w:val="0"/>
                  <w:marTop w:val="0"/>
                  <w:marBottom w:val="375"/>
                  <w:divBdr>
                    <w:top w:val="none" w:sz="0" w:space="0" w:color="auto"/>
                    <w:left w:val="none" w:sz="0" w:space="0" w:color="auto"/>
                    <w:bottom w:val="none" w:sz="0" w:space="0" w:color="auto"/>
                    <w:right w:val="none" w:sz="0" w:space="0" w:color="auto"/>
                  </w:divBdr>
                </w:div>
                <w:div w:id="1764105388">
                  <w:marLeft w:val="0"/>
                  <w:marRight w:val="0"/>
                  <w:marTop w:val="0"/>
                  <w:marBottom w:val="0"/>
                  <w:divBdr>
                    <w:top w:val="none" w:sz="0" w:space="0" w:color="auto"/>
                    <w:left w:val="none" w:sz="0" w:space="0" w:color="auto"/>
                    <w:bottom w:val="none" w:sz="0" w:space="0" w:color="auto"/>
                    <w:right w:val="none" w:sz="0" w:space="0" w:color="auto"/>
                  </w:divBdr>
                  <w:divsChild>
                    <w:div w:id="380515624">
                      <w:marLeft w:val="0"/>
                      <w:marRight w:val="0"/>
                      <w:marTop w:val="0"/>
                      <w:marBottom w:val="840"/>
                      <w:divBdr>
                        <w:top w:val="none" w:sz="0" w:space="0" w:color="auto"/>
                        <w:left w:val="none" w:sz="0" w:space="0" w:color="auto"/>
                        <w:bottom w:val="none" w:sz="0" w:space="0" w:color="auto"/>
                        <w:right w:val="none" w:sz="0" w:space="0" w:color="auto"/>
                      </w:divBdr>
                    </w:div>
                  </w:divsChild>
                </w:div>
              </w:divsChild>
            </w:div>
          </w:divsChild>
        </w:div>
        <w:div w:id="379867395">
          <w:marLeft w:val="0"/>
          <w:marRight w:val="0"/>
          <w:marTop w:val="0"/>
          <w:marBottom w:val="0"/>
          <w:divBdr>
            <w:top w:val="none" w:sz="0" w:space="0" w:color="auto"/>
            <w:left w:val="none" w:sz="0" w:space="0" w:color="auto"/>
            <w:bottom w:val="none" w:sz="0" w:space="0" w:color="auto"/>
            <w:right w:val="none" w:sz="0" w:space="0" w:color="auto"/>
          </w:divBdr>
          <w:divsChild>
            <w:div w:id="1764455352">
              <w:marLeft w:val="0"/>
              <w:marRight w:val="0"/>
              <w:marTop w:val="900"/>
              <w:marBottom w:val="450"/>
              <w:divBdr>
                <w:top w:val="none" w:sz="0" w:space="0" w:color="auto"/>
                <w:left w:val="none" w:sz="0" w:space="0" w:color="auto"/>
                <w:bottom w:val="none" w:sz="0" w:space="0" w:color="auto"/>
                <w:right w:val="none" w:sz="0" w:space="0" w:color="auto"/>
              </w:divBdr>
            </w:div>
            <w:div w:id="11423398">
              <w:marLeft w:val="0"/>
              <w:marRight w:val="0"/>
              <w:marTop w:val="900"/>
              <w:marBottom w:val="450"/>
              <w:divBdr>
                <w:top w:val="none" w:sz="0" w:space="0" w:color="auto"/>
                <w:left w:val="none" w:sz="0" w:space="0" w:color="auto"/>
                <w:bottom w:val="none" w:sz="0" w:space="0" w:color="auto"/>
                <w:right w:val="none" w:sz="0" w:space="0" w:color="auto"/>
              </w:divBdr>
            </w:div>
            <w:div w:id="1495417680">
              <w:marLeft w:val="0"/>
              <w:marRight w:val="0"/>
              <w:marTop w:val="0"/>
              <w:marBottom w:val="0"/>
              <w:divBdr>
                <w:top w:val="none" w:sz="0" w:space="0" w:color="auto"/>
                <w:left w:val="none" w:sz="0" w:space="0" w:color="auto"/>
                <w:bottom w:val="none" w:sz="0" w:space="0" w:color="auto"/>
                <w:right w:val="none" w:sz="0" w:space="0" w:color="auto"/>
              </w:divBdr>
            </w:div>
            <w:div w:id="1655335615">
              <w:marLeft w:val="0"/>
              <w:marRight w:val="0"/>
              <w:marTop w:val="900"/>
              <w:marBottom w:val="450"/>
              <w:divBdr>
                <w:top w:val="none" w:sz="0" w:space="0" w:color="auto"/>
                <w:left w:val="none" w:sz="0" w:space="0" w:color="auto"/>
                <w:bottom w:val="none" w:sz="0" w:space="0" w:color="auto"/>
                <w:right w:val="none" w:sz="0" w:space="0" w:color="auto"/>
              </w:divBdr>
            </w:div>
            <w:div w:id="958146370">
              <w:marLeft w:val="0"/>
              <w:marRight w:val="0"/>
              <w:marTop w:val="900"/>
              <w:marBottom w:val="45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axia.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59D32.6A956940"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DD5BA-9E44-4B37-9C95-E35C84329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877</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ben horin alexanderovich</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Yelena Paris Abutbul</cp:lastModifiedBy>
  <cp:revision>2</cp:revision>
  <cp:lastPrinted>2016-06-06T08:11:00Z</cp:lastPrinted>
  <dcterms:created xsi:type="dcterms:W3CDTF">2020-04-05T09:46:00Z</dcterms:created>
  <dcterms:modified xsi:type="dcterms:W3CDTF">2020-04-05T09:46:00Z</dcterms:modified>
</cp:coreProperties>
</file>